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FFC" w:rsidRDefault="00DB405C" w:rsidP="00C02FFC">
      <w:pPr>
        <w:rPr>
          <w:rFonts w:ascii="Berkeley" w:hAnsi="Berkeley"/>
          <w:smallCaps/>
          <w:sz w:val="32"/>
          <w:szCs w:val="32"/>
        </w:rPr>
      </w:pPr>
      <w:bookmarkStart w:id="0" w:name="_GoBack"/>
      <w:bookmarkEnd w:id="0"/>
      <w:r>
        <w:rPr>
          <w:rFonts w:ascii="Berkeley" w:hAnsi="Berkeley"/>
          <w:smallCaps/>
          <w:noProof/>
          <w:sz w:val="32"/>
          <w:szCs w:val="32"/>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2743200" cy="209550"/>
            <wp:effectExtent l="0" t="0" r="0" b="0"/>
            <wp:wrapTight wrapText="bothSides">
              <wp:wrapPolygon edited="0">
                <wp:start x="0" y="0"/>
                <wp:lineTo x="0" y="18327"/>
                <wp:lineTo x="21400" y="18327"/>
                <wp:lineTo x="21400" y="0"/>
                <wp:lineTo x="12800" y="0"/>
                <wp:lineTo x="0" y="0"/>
              </wp:wrapPolygon>
            </wp:wrapTight>
            <wp:docPr id="3" name="Picture 3" descr="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FFC" w:rsidRPr="006D4772" w:rsidRDefault="00C02FFC" w:rsidP="00C02FFC">
      <w:pPr>
        <w:rPr>
          <w:rFonts w:ascii="Berkeley" w:hAnsi="Berkeley"/>
          <w:smallCaps/>
          <w:sz w:val="32"/>
          <w:szCs w:val="32"/>
        </w:rPr>
      </w:pPr>
      <w:r w:rsidRPr="006D4772">
        <w:rPr>
          <w:rFonts w:ascii="Berkeley" w:hAnsi="Berkeley"/>
          <w:smallCaps/>
          <w:sz w:val="32"/>
          <w:szCs w:val="32"/>
        </w:rPr>
        <w:t xml:space="preserve">Graduate College </w:t>
      </w:r>
    </w:p>
    <w:p w:rsidR="00C02FFC" w:rsidRPr="006D4772" w:rsidRDefault="00C02FFC" w:rsidP="00C02FFC">
      <w:pPr>
        <w:rPr>
          <w:rFonts w:ascii="Berkeley" w:hAnsi="Berkeley"/>
          <w:smallCaps/>
          <w:sz w:val="20"/>
          <w:szCs w:val="20"/>
        </w:rPr>
      </w:pPr>
    </w:p>
    <w:p w:rsidR="00C02FFC" w:rsidRDefault="00C02FFC" w:rsidP="00C02FFC">
      <w:pPr>
        <w:jc w:val="center"/>
        <w:rPr>
          <w:rFonts w:ascii="Univers" w:hAnsi="Univers"/>
          <w:sz w:val="32"/>
          <w:szCs w:val="32"/>
        </w:rPr>
      </w:pPr>
      <w:r>
        <w:rPr>
          <w:rFonts w:ascii="Univers" w:hAnsi="Univers"/>
          <w:sz w:val="32"/>
          <w:szCs w:val="32"/>
        </w:rPr>
        <w:t>Dual-Listed Courses</w:t>
      </w:r>
    </w:p>
    <w:p w:rsidR="00C02FFC" w:rsidRPr="00BE6C4F" w:rsidRDefault="00C02FFC" w:rsidP="00C02FFC">
      <w:pPr>
        <w:jc w:val="center"/>
        <w:rPr>
          <w:rFonts w:ascii="Palatino Linotype" w:hAnsi="Palatino Linotype"/>
          <w:sz w:val="22"/>
          <w:szCs w:val="22"/>
        </w:rPr>
      </w:pPr>
    </w:p>
    <w:p w:rsidR="00F31C91" w:rsidRPr="00210432" w:rsidRDefault="00C02FFC" w:rsidP="00F31C91">
      <w:pPr>
        <w:autoSpaceDE w:val="0"/>
        <w:autoSpaceDN w:val="0"/>
        <w:adjustRightInd w:val="0"/>
        <w:spacing w:before="240"/>
        <w:rPr>
          <w:rFonts w:ascii="Palatino Linotype" w:hAnsi="Palatino Linotype"/>
          <w:sz w:val="22"/>
          <w:szCs w:val="22"/>
        </w:rPr>
      </w:pPr>
      <w:r w:rsidRPr="00BE6C4F">
        <w:rPr>
          <w:rFonts w:ascii="Palatino Linotype" w:hAnsi="Palatino Linotype"/>
          <w:sz w:val="22"/>
          <w:szCs w:val="22"/>
        </w:rPr>
        <w:t>Departments must request permission to offer courses at the graduate level in conjunction with 300-400 level undergraduate courses. The request is made to the Graduate Curriculum and Catalog Committee</w:t>
      </w:r>
      <w:r w:rsidRPr="00210432">
        <w:rPr>
          <w:rFonts w:ascii="Palatino Linotype" w:hAnsi="Palatino Linotype"/>
          <w:sz w:val="22"/>
          <w:szCs w:val="22"/>
        </w:rPr>
        <w:t xml:space="preserve">. </w:t>
      </w:r>
      <w:r w:rsidR="00F31C91" w:rsidRPr="00210432">
        <w:rPr>
          <w:rFonts w:ascii="Palatino Linotype" w:hAnsi="Palatino Linotype"/>
          <w:sz w:val="22"/>
          <w:szCs w:val="22"/>
        </w:rPr>
        <w:t xml:space="preserve">If the dual-listed courses are also experimental courses (400X/500X), submit the experimental course form to the Scheduling Office, 10 Enrollment Services, </w:t>
      </w:r>
      <w:r w:rsidR="00210432" w:rsidRPr="00210432">
        <w:rPr>
          <w:rFonts w:ascii="Palatino Linotype" w:hAnsi="Palatino Linotype"/>
          <w:sz w:val="22"/>
          <w:szCs w:val="22"/>
        </w:rPr>
        <w:t>AND attach</w:t>
      </w:r>
      <w:r w:rsidR="00F31C91" w:rsidRPr="00210432">
        <w:rPr>
          <w:rFonts w:ascii="Palatino Linotype" w:hAnsi="Palatino Linotype"/>
          <w:sz w:val="22"/>
          <w:szCs w:val="22"/>
        </w:rPr>
        <w:t xml:space="preserve"> a</w:t>
      </w:r>
      <w:r w:rsidR="00EE2B1B">
        <w:rPr>
          <w:rFonts w:ascii="Palatino Linotype" w:hAnsi="Palatino Linotype"/>
          <w:sz w:val="22"/>
          <w:szCs w:val="22"/>
        </w:rPr>
        <w:t xml:space="preserve">n </w:t>
      </w:r>
      <w:r w:rsidR="00EE2B1B" w:rsidRPr="00EE2B1B">
        <w:rPr>
          <w:rFonts w:ascii="Palatino Linotype" w:hAnsi="Palatino Linotype"/>
          <w:sz w:val="22"/>
          <w:szCs w:val="22"/>
          <w:u w:val="single"/>
        </w:rPr>
        <w:t>approved</w:t>
      </w:r>
      <w:r w:rsidR="00F31C91" w:rsidRPr="00EE2B1B">
        <w:rPr>
          <w:rFonts w:ascii="Palatino Linotype" w:hAnsi="Palatino Linotype"/>
          <w:sz w:val="22"/>
          <w:szCs w:val="22"/>
          <w:u w:val="single"/>
        </w:rPr>
        <w:t xml:space="preserve"> </w:t>
      </w:r>
      <w:r w:rsidR="00F31C91" w:rsidRPr="00210432">
        <w:rPr>
          <w:rFonts w:ascii="Palatino Linotype" w:hAnsi="Palatino Linotype"/>
          <w:sz w:val="22"/>
          <w:szCs w:val="22"/>
        </w:rPr>
        <w:t xml:space="preserve">copy </w:t>
      </w:r>
      <w:r w:rsidR="00210432">
        <w:rPr>
          <w:rFonts w:ascii="Palatino Linotype" w:hAnsi="Palatino Linotype"/>
          <w:sz w:val="22"/>
          <w:szCs w:val="22"/>
        </w:rPr>
        <w:t xml:space="preserve">of the experimental course form(s) </w:t>
      </w:r>
      <w:r w:rsidR="00F31C91" w:rsidRPr="00210432">
        <w:rPr>
          <w:rFonts w:ascii="Palatino Linotype" w:hAnsi="Palatino Linotype"/>
          <w:sz w:val="22"/>
          <w:szCs w:val="22"/>
        </w:rPr>
        <w:t xml:space="preserve">to the dual –listed request.  </w:t>
      </w:r>
    </w:p>
    <w:p w:rsidR="00F31C91" w:rsidRPr="00210432" w:rsidRDefault="00F31C91" w:rsidP="00F31C91">
      <w:pPr>
        <w:autoSpaceDE w:val="0"/>
        <w:autoSpaceDN w:val="0"/>
        <w:adjustRightInd w:val="0"/>
        <w:rPr>
          <w:rFonts w:ascii="Palatino Linotype" w:hAnsi="Palatino Linotype"/>
          <w:sz w:val="22"/>
          <w:szCs w:val="22"/>
        </w:rPr>
      </w:pPr>
    </w:p>
    <w:p w:rsidR="00F31C91" w:rsidRPr="00210432" w:rsidRDefault="00F31C91" w:rsidP="00F31C91">
      <w:pPr>
        <w:autoSpaceDE w:val="0"/>
        <w:autoSpaceDN w:val="0"/>
        <w:adjustRightInd w:val="0"/>
        <w:ind w:left="576" w:right="720"/>
        <w:rPr>
          <w:rFonts w:ascii="Palatino Linotype" w:hAnsi="Palatino Linotype" w:cs="Univers-Light"/>
          <w:sz w:val="20"/>
          <w:szCs w:val="20"/>
        </w:rPr>
      </w:pPr>
      <w:r w:rsidRPr="00210432">
        <w:rPr>
          <w:rFonts w:ascii="Palatino Linotype" w:hAnsi="Palatino Linotype" w:cs="Univers-Light"/>
          <w:sz w:val="20"/>
          <w:szCs w:val="20"/>
        </w:rPr>
        <w:t xml:space="preserve">Dual-listed courses permit undergraduate and graduate students to be in the same class but to receive credit under two different course numbers.  Credit in the graduate course is not available to students who have received credit in the corresponding undergraduate course. Both graduates and undergraduates receive the same amount of credit for the course, but additional work is required of all graduate students taking the course under the graduate-level course number. This extra work may take the form of additional reading, projects, examinations, or other assignments as determined by the instructor. The instructor must be a member of the Graduate Faculty or a Graduate Lecturer. Each dual-listed course is designated in the catalog with the phrase “Dual-listed with,” although the student’s official transcript of credits, both graduate and undergraduate, does not identify dual-listed courses as such. There is a limit to the number of dual-listed course credits that may be used to meet the requirement for an advanced degree. (For information about procedures for requesting permission to offer dual-listed courses, faculty </w:t>
      </w:r>
      <w:proofErr w:type="gramStart"/>
      <w:r w:rsidRPr="00210432">
        <w:rPr>
          <w:rFonts w:ascii="Palatino Linotype" w:hAnsi="Palatino Linotype" w:cs="Univers-Light"/>
          <w:sz w:val="20"/>
          <w:szCs w:val="20"/>
        </w:rPr>
        <w:t>should</w:t>
      </w:r>
      <w:proofErr w:type="gramEnd"/>
      <w:r w:rsidRPr="00210432">
        <w:rPr>
          <w:rFonts w:ascii="Palatino Linotype" w:hAnsi="Palatino Linotype" w:cs="Univers-Light"/>
          <w:sz w:val="20"/>
          <w:szCs w:val="20"/>
        </w:rPr>
        <w:t xml:space="preserve"> consult the </w:t>
      </w:r>
      <w:r w:rsidRPr="00210432">
        <w:rPr>
          <w:rFonts w:ascii="Palatino Linotype" w:hAnsi="Palatino Linotype" w:cs="Univers-LightOblique"/>
          <w:i/>
          <w:iCs/>
          <w:sz w:val="20"/>
          <w:szCs w:val="20"/>
        </w:rPr>
        <w:t>Graduate Faculty</w:t>
      </w:r>
      <w:r w:rsidRPr="00210432">
        <w:rPr>
          <w:rFonts w:ascii="Palatino Linotype" w:hAnsi="Palatino Linotype" w:cs="Univers-Light"/>
          <w:sz w:val="20"/>
          <w:szCs w:val="20"/>
        </w:rPr>
        <w:t xml:space="preserve"> </w:t>
      </w:r>
      <w:r w:rsidRPr="00210432">
        <w:rPr>
          <w:rFonts w:ascii="Palatino Linotype" w:hAnsi="Palatino Linotype" w:cs="Univers-LightOblique"/>
          <w:i/>
          <w:iCs/>
          <w:sz w:val="20"/>
          <w:szCs w:val="20"/>
        </w:rPr>
        <w:t>Handbook</w:t>
      </w:r>
      <w:r w:rsidRPr="00210432">
        <w:rPr>
          <w:rFonts w:ascii="Palatino Linotype" w:hAnsi="Palatino Linotype" w:cs="Univers-Light"/>
          <w:sz w:val="20"/>
          <w:szCs w:val="20"/>
        </w:rPr>
        <w:t xml:space="preserve">.).  </w:t>
      </w:r>
    </w:p>
    <w:p w:rsidR="00F31C91" w:rsidRDefault="00F31C91" w:rsidP="00C02FFC">
      <w:pPr>
        <w:rPr>
          <w:rFonts w:ascii="Palatino Linotype" w:hAnsi="Palatino Linotype"/>
          <w:sz w:val="22"/>
          <w:szCs w:val="22"/>
        </w:rPr>
      </w:pPr>
    </w:p>
    <w:p w:rsidR="00C02FFC" w:rsidRPr="00BE6C4F" w:rsidRDefault="00C02FFC" w:rsidP="00C02FFC">
      <w:pPr>
        <w:rPr>
          <w:rFonts w:ascii="Palatino Linotype" w:hAnsi="Palatino Linotype"/>
          <w:sz w:val="22"/>
          <w:szCs w:val="22"/>
        </w:rPr>
      </w:pPr>
      <w:r w:rsidRPr="00BE6C4F">
        <w:rPr>
          <w:rFonts w:ascii="Palatino Linotype" w:hAnsi="Palatino Linotype"/>
          <w:sz w:val="22"/>
          <w:szCs w:val="22"/>
        </w:rPr>
        <w:t xml:space="preserve">In reviewing proposals for dual-listed courses, this committee needs to understand the department’s rationale for offering the course. When a department submits a request, an explanation should be given of the purpose served by the course and the criteria used by the department to determine if the course is suitable for dual-listing. Please submit the proposal in electronic form as a word attachment to </w:t>
      </w:r>
      <w:r>
        <w:rPr>
          <w:rFonts w:ascii="Palatino Linotype" w:hAnsi="Palatino Linotype"/>
          <w:sz w:val="22"/>
          <w:szCs w:val="22"/>
        </w:rPr>
        <w:t xml:space="preserve">grad_college@iastate.edu. </w:t>
      </w:r>
    </w:p>
    <w:p w:rsidR="00C02FFC" w:rsidRPr="00BE6C4F" w:rsidRDefault="00C02FFC" w:rsidP="00C02FFC">
      <w:pPr>
        <w:rPr>
          <w:rFonts w:ascii="Palatino Linotype" w:hAnsi="Palatino Linotype"/>
          <w:sz w:val="22"/>
          <w:szCs w:val="22"/>
        </w:rPr>
      </w:pPr>
    </w:p>
    <w:p w:rsidR="00C02FFC" w:rsidRDefault="00C02FFC" w:rsidP="00C02FFC">
      <w:pPr>
        <w:rPr>
          <w:rFonts w:ascii="Univers" w:hAnsi="Univers"/>
          <w:sz w:val="28"/>
          <w:szCs w:val="28"/>
        </w:rPr>
      </w:pPr>
      <w:r w:rsidRPr="00BE6C4F">
        <w:rPr>
          <w:rFonts w:ascii="Univers" w:hAnsi="Univers"/>
          <w:sz w:val="28"/>
          <w:szCs w:val="28"/>
        </w:rPr>
        <w:t xml:space="preserve">The following </w:t>
      </w:r>
      <w:r>
        <w:rPr>
          <w:rFonts w:ascii="Univers" w:hAnsi="Univers"/>
          <w:sz w:val="28"/>
          <w:szCs w:val="28"/>
        </w:rPr>
        <w:t>information should be included</w:t>
      </w:r>
      <w:r w:rsidRPr="00BE6C4F">
        <w:rPr>
          <w:rFonts w:ascii="Univers" w:hAnsi="Univers"/>
          <w:sz w:val="28"/>
          <w:szCs w:val="28"/>
        </w:rPr>
        <w:t xml:space="preserve"> in the proposal:</w:t>
      </w:r>
    </w:p>
    <w:p w:rsidR="00C02FFC" w:rsidRPr="00BE6C4F" w:rsidRDefault="00C02FFC" w:rsidP="00C02FFC">
      <w:pPr>
        <w:rPr>
          <w:rFonts w:ascii="Univers" w:hAnsi="Univers"/>
        </w:rPr>
      </w:pPr>
    </w:p>
    <w:p w:rsidR="00210432" w:rsidRPr="00210432" w:rsidRDefault="00F31C91" w:rsidP="00210432">
      <w:pPr>
        <w:numPr>
          <w:ilvl w:val="0"/>
          <w:numId w:val="6"/>
        </w:numPr>
        <w:rPr>
          <w:rFonts w:ascii="Calibri" w:hAnsi="Calibri"/>
          <w:color w:val="1F497D"/>
          <w:sz w:val="20"/>
          <w:szCs w:val="20"/>
        </w:rPr>
      </w:pPr>
      <w:r>
        <w:rPr>
          <w:rFonts w:ascii="Palatino Linotype" w:hAnsi="Palatino Linotype"/>
          <w:sz w:val="22"/>
          <w:szCs w:val="22"/>
        </w:rPr>
        <w:t xml:space="preserve"> </w:t>
      </w:r>
      <w:r w:rsidR="00C02FFC" w:rsidRPr="00BE6C4F">
        <w:rPr>
          <w:rFonts w:ascii="Palatino Linotype" w:hAnsi="Palatino Linotype"/>
          <w:sz w:val="22"/>
          <w:szCs w:val="22"/>
        </w:rPr>
        <w:t>Full catalog information for each course to be dual-listed, including the course numbers (or proposed course numbers), title, credits, semester offering (if applicable), prerequisites, and description.</w:t>
      </w:r>
      <w:r>
        <w:rPr>
          <w:rFonts w:ascii="Palatino Linotype" w:hAnsi="Palatino Linotype"/>
          <w:sz w:val="22"/>
          <w:szCs w:val="22"/>
        </w:rPr>
        <w:t xml:space="preserve"> Dual-</w:t>
      </w:r>
      <w:r w:rsidRPr="00BE6C4F">
        <w:rPr>
          <w:rFonts w:ascii="Palatino Linotype" w:hAnsi="Palatino Linotype"/>
          <w:sz w:val="22"/>
          <w:szCs w:val="22"/>
        </w:rPr>
        <w:t>listed courses bear common numbers, e.g., 580 (</w:t>
      </w:r>
      <w:r>
        <w:rPr>
          <w:rFonts w:ascii="Palatino Linotype" w:hAnsi="Palatino Linotype"/>
          <w:sz w:val="22"/>
          <w:szCs w:val="22"/>
        </w:rPr>
        <w:t>4</w:t>
      </w:r>
      <w:r w:rsidRPr="00BE6C4F">
        <w:rPr>
          <w:rFonts w:ascii="Palatino Linotype" w:hAnsi="Palatino Linotype"/>
          <w:sz w:val="22"/>
          <w:szCs w:val="22"/>
        </w:rPr>
        <w:t>80).</w:t>
      </w:r>
      <w:r>
        <w:rPr>
          <w:rFonts w:ascii="Palatino Linotype" w:hAnsi="Palatino Linotype"/>
          <w:sz w:val="22"/>
          <w:szCs w:val="22"/>
        </w:rPr>
        <w:t xml:space="preserve">  </w:t>
      </w:r>
      <w:r w:rsidR="00C02FFC" w:rsidRPr="00F31C91">
        <w:rPr>
          <w:rFonts w:ascii="Palatino Linotype" w:hAnsi="Palatino Linotype"/>
          <w:sz w:val="22"/>
          <w:szCs w:val="22"/>
        </w:rPr>
        <w:t xml:space="preserve"> </w:t>
      </w:r>
    </w:p>
    <w:p w:rsidR="00C02FFC" w:rsidRDefault="00C02FFC" w:rsidP="00C02FFC">
      <w:pPr>
        <w:rPr>
          <w:rFonts w:ascii="Palatino Linotype" w:hAnsi="Palatino Linotype"/>
          <w:b/>
          <w:sz w:val="22"/>
          <w:szCs w:val="22"/>
        </w:rPr>
      </w:pPr>
    </w:p>
    <w:p w:rsidR="00222BF6" w:rsidRDefault="00222BF6" w:rsidP="00C02FFC">
      <w:r>
        <w:t>CH E 410X (Dual-listed with CH E 510X)</w:t>
      </w:r>
      <w:proofErr w:type="gramStart"/>
      <w:r>
        <w:rPr>
          <w:rFonts w:ascii="Courier New" w:hAnsi="Courier New" w:cs="Courier New"/>
          <w:sz w:val="18"/>
          <w:szCs w:val="18"/>
        </w:rPr>
        <w:t>.</w:t>
      </w:r>
      <w:r>
        <w:t>(</w:t>
      </w:r>
      <w:proofErr w:type="gramEnd"/>
      <w:r>
        <w:t>3-0)</w:t>
      </w:r>
      <w:r w:rsidRPr="00AE6335">
        <w:rPr>
          <w:rFonts w:ascii="Courier New" w:hAnsi="Courier New" w:cs="Courier New"/>
          <w:sz w:val="18"/>
          <w:szCs w:val="18"/>
        </w:rPr>
        <w:t xml:space="preserve"> </w:t>
      </w:r>
      <w:r>
        <w:t xml:space="preserve">Cr.3.  Electrochemical engineering principles in thermodynamics, electrode kinetics, charge and mass transport; modeling and simulation; </w:t>
      </w:r>
      <w:proofErr w:type="spellStart"/>
      <w:r>
        <w:t>electrocatalysis</w:t>
      </w:r>
      <w:proofErr w:type="spellEnd"/>
      <w:r>
        <w:t xml:space="preserve">; electrochemical reactions; applications of electrochemical engineering in fuel cells, batteries and </w:t>
      </w:r>
      <w:proofErr w:type="spellStart"/>
      <w:r>
        <w:t>electrolyzers</w:t>
      </w:r>
      <w:proofErr w:type="spellEnd"/>
      <w:r>
        <w:t>.</w:t>
      </w:r>
    </w:p>
    <w:p w:rsidR="00222BF6" w:rsidRDefault="00222BF6" w:rsidP="00C02FFC"/>
    <w:p w:rsidR="00222BF6" w:rsidRDefault="00222BF6" w:rsidP="00222BF6">
      <w:pPr>
        <w:rPr>
          <w:rFonts w:ascii="Palatino Linotype" w:hAnsi="Palatino Linotype"/>
          <w:b/>
          <w:sz w:val="22"/>
          <w:szCs w:val="22"/>
        </w:rPr>
      </w:pPr>
      <w:r>
        <w:t>CH E 510X (Dual-listed with CH E 410X) (3-0)</w:t>
      </w:r>
      <w:r w:rsidRPr="00AE6335">
        <w:rPr>
          <w:rFonts w:ascii="Courier New" w:hAnsi="Courier New" w:cs="Courier New"/>
          <w:sz w:val="18"/>
          <w:szCs w:val="18"/>
        </w:rPr>
        <w:t xml:space="preserve"> </w:t>
      </w:r>
      <w:r>
        <w:t xml:space="preserve">Cr.3.  Electrochemical engineering principles in thermodynamics, electrode kinetics, charge and mass transport; modeling and simulation; </w:t>
      </w:r>
      <w:proofErr w:type="spellStart"/>
      <w:r>
        <w:t>electrocatalysis</w:t>
      </w:r>
      <w:proofErr w:type="spellEnd"/>
      <w:r>
        <w:t xml:space="preserve">; electrochemical reactions; applications of electrochemical engineering in fuel cells, batteries and </w:t>
      </w:r>
      <w:proofErr w:type="spellStart"/>
      <w:r>
        <w:t>electrolyzers</w:t>
      </w:r>
      <w:proofErr w:type="spellEnd"/>
      <w:r>
        <w:t>.</w:t>
      </w:r>
    </w:p>
    <w:p w:rsidR="00222BF6" w:rsidRDefault="00222BF6" w:rsidP="00C02FFC">
      <w:pPr>
        <w:rPr>
          <w:rFonts w:ascii="Palatino Linotype" w:hAnsi="Palatino Linotype"/>
          <w:b/>
          <w:sz w:val="22"/>
          <w:szCs w:val="22"/>
        </w:rPr>
      </w:pPr>
    </w:p>
    <w:p w:rsidR="00222BF6" w:rsidRDefault="00222BF6" w:rsidP="00C02FFC">
      <w:pPr>
        <w:rPr>
          <w:rFonts w:ascii="Palatino Linotype" w:hAnsi="Palatino Linotype"/>
          <w:sz w:val="22"/>
          <w:szCs w:val="22"/>
        </w:rPr>
      </w:pPr>
    </w:p>
    <w:p w:rsidR="00C02FFC" w:rsidRDefault="00F31C91" w:rsidP="00F31C91">
      <w:pPr>
        <w:numPr>
          <w:ilvl w:val="0"/>
          <w:numId w:val="6"/>
        </w:numPr>
        <w:rPr>
          <w:rFonts w:ascii="Palatino Linotype" w:hAnsi="Palatino Linotype"/>
          <w:sz w:val="22"/>
          <w:szCs w:val="22"/>
        </w:rPr>
      </w:pPr>
      <w:r>
        <w:rPr>
          <w:rFonts w:ascii="Palatino Linotype" w:hAnsi="Palatino Linotype"/>
          <w:sz w:val="22"/>
          <w:szCs w:val="22"/>
        </w:rPr>
        <w:t xml:space="preserve"> </w:t>
      </w:r>
      <w:r w:rsidR="00C02FFC" w:rsidRPr="00BE6C4F">
        <w:rPr>
          <w:rFonts w:ascii="Palatino Linotype" w:hAnsi="Palatino Linotype"/>
          <w:sz w:val="22"/>
          <w:szCs w:val="22"/>
        </w:rPr>
        <w:t>Graduate faculty status of the proposed instructor.</w:t>
      </w:r>
    </w:p>
    <w:p w:rsidR="00C02FFC" w:rsidRPr="00DF48E7" w:rsidRDefault="00DF48E7" w:rsidP="00C02FFC">
      <w:pPr>
        <w:rPr>
          <w:rFonts w:ascii="Palatino Linotype" w:hAnsi="Palatino Linotype"/>
          <w:b/>
          <w:sz w:val="22"/>
          <w:szCs w:val="22"/>
        </w:rPr>
      </w:pPr>
      <w:r w:rsidRPr="00DF48E7">
        <w:rPr>
          <w:rFonts w:ascii="Palatino Linotype" w:hAnsi="Palatino Linotype"/>
          <w:b/>
          <w:sz w:val="22"/>
          <w:szCs w:val="22"/>
        </w:rPr>
        <w:t>The proposed instructor Dr. Li is a graduate faculty.</w:t>
      </w:r>
    </w:p>
    <w:p w:rsidR="00DF48E7" w:rsidRDefault="00DF48E7"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Number of the dual-listed course credits the department will permit to be used to meet the requirements for an advanced degree. This limit includes dual-listed courses taken in all departments.</w:t>
      </w:r>
    </w:p>
    <w:p w:rsidR="00C02FFC" w:rsidRPr="00DF48E7" w:rsidRDefault="002F4A05" w:rsidP="00DF48E7">
      <w:pPr>
        <w:ind w:left="720"/>
        <w:rPr>
          <w:rFonts w:ascii="Palatino Linotype" w:hAnsi="Palatino Linotype"/>
          <w:b/>
          <w:sz w:val="22"/>
          <w:szCs w:val="22"/>
        </w:rPr>
      </w:pPr>
      <w:r>
        <w:rPr>
          <w:rFonts w:ascii="Palatino Linotype" w:hAnsi="Palatino Linotype"/>
          <w:b/>
          <w:sz w:val="22"/>
          <w:szCs w:val="22"/>
        </w:rPr>
        <w:t>No limit</w:t>
      </w:r>
    </w:p>
    <w:p w:rsidR="00C02FFC" w:rsidRDefault="00C02FFC" w:rsidP="00C02FFC">
      <w:pPr>
        <w:rPr>
          <w:rFonts w:ascii="Palatino Linotype" w:hAnsi="Palatino Linotype"/>
          <w:sz w:val="22"/>
          <w:szCs w:val="22"/>
        </w:rPr>
      </w:pPr>
    </w:p>
    <w:p w:rsidR="00210432" w:rsidRPr="00210432" w:rsidRDefault="00C02FFC" w:rsidP="00210432">
      <w:pPr>
        <w:numPr>
          <w:ilvl w:val="0"/>
          <w:numId w:val="6"/>
        </w:numPr>
        <w:rPr>
          <w:rFonts w:ascii="Palatino Linotype" w:hAnsi="Palatino Linotype"/>
          <w:sz w:val="18"/>
          <w:szCs w:val="18"/>
        </w:rPr>
      </w:pPr>
      <w:r w:rsidRPr="00BE6C4F">
        <w:rPr>
          <w:rFonts w:ascii="Palatino Linotype" w:hAnsi="Palatino Linotype"/>
          <w:sz w:val="22"/>
          <w:szCs w:val="22"/>
        </w:rPr>
        <w:t>The differential expectations for graduate students and undergraduates. What additional work will be required for graduate students enrolled in the course? Please describe this work, not in abstract terms (such as "more in-depth participation") but in terms of concrete</w:t>
      </w:r>
      <w:r>
        <w:rPr>
          <w:rFonts w:ascii="Palatino Linotype" w:hAnsi="Palatino Linotype"/>
          <w:sz w:val="22"/>
          <w:szCs w:val="22"/>
        </w:rPr>
        <w:t xml:space="preserve"> measurable out</w:t>
      </w:r>
      <w:r w:rsidRPr="00BE6C4F">
        <w:rPr>
          <w:rFonts w:ascii="Palatino Linotype" w:hAnsi="Palatino Linotype"/>
          <w:sz w:val="22"/>
          <w:szCs w:val="22"/>
        </w:rPr>
        <w:t xml:space="preserve">comes or other tangible evidence. Welcome inclusions: specific examples of the additional assignments with details about paper length; the number of additional readings; the length and frequency of oral presentations; portfolio expectations; indications of how these graduate requirements are weighted in the course </w:t>
      </w:r>
      <w:r w:rsidRPr="00210432">
        <w:rPr>
          <w:rFonts w:ascii="Palatino Linotype" w:hAnsi="Palatino Linotype" w:cs="Adobe Arabic"/>
          <w:sz w:val="22"/>
          <w:szCs w:val="22"/>
        </w:rPr>
        <w:t xml:space="preserve">grade </w:t>
      </w:r>
      <w:r w:rsidR="00210432" w:rsidRPr="00210432">
        <w:rPr>
          <w:rFonts w:ascii="Palatino Linotype" w:hAnsi="Palatino Linotype" w:cs="Adobe Arabic"/>
          <w:sz w:val="22"/>
          <w:szCs w:val="22"/>
        </w:rPr>
        <w:t>(ex. 4</w:t>
      </w:r>
      <w:r w:rsidRPr="00210432">
        <w:rPr>
          <w:rFonts w:ascii="Palatino Linotype" w:hAnsi="Palatino Linotype" w:cs="Adobe Arabic"/>
          <w:sz w:val="22"/>
          <w:szCs w:val="22"/>
        </w:rPr>
        <w:t xml:space="preserve">0% of final grade); comparisons </w:t>
      </w:r>
      <w:r w:rsidRPr="00210432">
        <w:rPr>
          <w:rFonts w:ascii="Palatino Linotype" w:hAnsi="Palatino Linotype"/>
          <w:sz w:val="22"/>
          <w:szCs w:val="22"/>
        </w:rPr>
        <w:t>with undergraduate expectations.</w:t>
      </w:r>
      <w:r w:rsidR="00210432" w:rsidRPr="00210432">
        <w:rPr>
          <w:rFonts w:ascii="Palatino Linotype" w:hAnsi="Palatino Linotype"/>
          <w:sz w:val="22"/>
          <w:szCs w:val="22"/>
        </w:rPr>
        <w:br/>
      </w:r>
      <w:r w:rsidR="00210432">
        <w:rPr>
          <w:rFonts w:ascii="Palatino Linotype" w:hAnsi="Palatino Linotype"/>
          <w:sz w:val="18"/>
          <w:szCs w:val="18"/>
        </w:rPr>
        <w:t xml:space="preserve">    </w:t>
      </w:r>
      <w:r w:rsidR="00210432" w:rsidRPr="00210432">
        <w:rPr>
          <w:rFonts w:ascii="Palatino Linotype" w:hAnsi="Palatino Linotype"/>
          <w:sz w:val="18"/>
          <w:szCs w:val="18"/>
        </w:rPr>
        <w:t>Examples:</w:t>
      </w:r>
    </w:p>
    <w:p w:rsidR="00210432" w:rsidRDefault="00210432" w:rsidP="00210432">
      <w:pPr>
        <w:numPr>
          <w:ilvl w:val="0"/>
          <w:numId w:val="8"/>
        </w:numPr>
        <w:rPr>
          <w:rFonts w:ascii="Calibri" w:hAnsi="Calibri"/>
          <w:sz w:val="20"/>
          <w:szCs w:val="20"/>
        </w:rPr>
      </w:pPr>
      <w:r w:rsidRPr="00210432">
        <w:rPr>
          <w:rFonts w:ascii="Calibri" w:hAnsi="Calibri"/>
          <w:sz w:val="20"/>
          <w:szCs w:val="20"/>
        </w:rPr>
        <w:t xml:space="preserve">Graduate students are required to research a topic and write an in-depth paper.  </w:t>
      </w:r>
    </w:p>
    <w:p w:rsidR="00210432" w:rsidRPr="00210432" w:rsidRDefault="00210432" w:rsidP="00210432">
      <w:pPr>
        <w:numPr>
          <w:ilvl w:val="0"/>
          <w:numId w:val="8"/>
        </w:numPr>
        <w:rPr>
          <w:rFonts w:ascii="Calibri" w:hAnsi="Calibri"/>
          <w:sz w:val="20"/>
          <w:szCs w:val="20"/>
        </w:rPr>
      </w:pPr>
      <w:r w:rsidRPr="00210432">
        <w:rPr>
          <w:rFonts w:ascii="Calibri" w:hAnsi="Calibri"/>
          <w:sz w:val="20"/>
          <w:szCs w:val="20"/>
        </w:rPr>
        <w:t xml:space="preserve">Graduate students are required to attend </w:t>
      </w:r>
      <w:r>
        <w:rPr>
          <w:rFonts w:ascii="Calibri" w:hAnsi="Calibri"/>
          <w:sz w:val="20"/>
          <w:szCs w:val="20"/>
        </w:rPr>
        <w:t xml:space="preserve">additional </w:t>
      </w:r>
      <w:r w:rsidRPr="00210432">
        <w:rPr>
          <w:rFonts w:ascii="Calibri" w:hAnsi="Calibri"/>
          <w:sz w:val="20"/>
          <w:szCs w:val="20"/>
        </w:rPr>
        <w:t>lectures, and have (X) extra assignment papers (to be determined).</w:t>
      </w:r>
    </w:p>
    <w:p w:rsidR="00210432" w:rsidRPr="00210432" w:rsidRDefault="00210432" w:rsidP="00210432">
      <w:pPr>
        <w:ind w:left="1440"/>
        <w:rPr>
          <w:rFonts w:ascii="Calibri" w:hAnsi="Calibri"/>
          <w:sz w:val="20"/>
          <w:szCs w:val="20"/>
        </w:rPr>
      </w:pPr>
    </w:p>
    <w:p w:rsidR="00955054" w:rsidRDefault="00DF48E7" w:rsidP="00955054">
      <w:pPr>
        <w:jc w:val="both"/>
      </w:pPr>
      <w:r w:rsidRPr="00DF48E7">
        <w:rPr>
          <w:rFonts w:ascii="Palatino Linotype" w:hAnsi="Palatino Linotype"/>
          <w:b/>
          <w:sz w:val="22"/>
          <w:szCs w:val="22"/>
        </w:rPr>
        <w:t>Graduate students are requ</w:t>
      </w:r>
      <w:r>
        <w:rPr>
          <w:rFonts w:ascii="Palatino Linotype" w:hAnsi="Palatino Linotype"/>
          <w:b/>
          <w:sz w:val="22"/>
          <w:szCs w:val="22"/>
        </w:rPr>
        <w:t>ired to lead the team p</w:t>
      </w:r>
      <w:r w:rsidRPr="00DF48E7">
        <w:rPr>
          <w:rFonts w:ascii="Palatino Linotype" w:hAnsi="Palatino Linotype"/>
          <w:b/>
          <w:sz w:val="22"/>
          <w:szCs w:val="22"/>
        </w:rPr>
        <w:t xml:space="preserve">roject </w:t>
      </w:r>
      <w:r>
        <w:rPr>
          <w:rFonts w:ascii="Palatino Linotype" w:hAnsi="Palatino Linotype"/>
          <w:b/>
          <w:sz w:val="22"/>
          <w:szCs w:val="22"/>
        </w:rPr>
        <w:t>in a specific application area (such as direct methanol fuel cell</w:t>
      </w:r>
      <w:r w:rsidR="00955054">
        <w:rPr>
          <w:rFonts w:ascii="Palatino Linotype" w:hAnsi="Palatino Linotype"/>
          <w:b/>
          <w:sz w:val="22"/>
          <w:szCs w:val="22"/>
        </w:rPr>
        <w:t>, CO</w:t>
      </w:r>
      <w:r w:rsidR="00955054" w:rsidRPr="00955054">
        <w:rPr>
          <w:rFonts w:ascii="Palatino Linotype" w:hAnsi="Palatino Linotype"/>
          <w:b/>
          <w:sz w:val="22"/>
          <w:szCs w:val="22"/>
          <w:vertAlign w:val="subscript"/>
        </w:rPr>
        <w:t>2</w:t>
      </w:r>
      <w:r w:rsidR="00955054">
        <w:rPr>
          <w:rFonts w:ascii="Palatino Linotype" w:hAnsi="Palatino Linotype"/>
          <w:b/>
          <w:sz w:val="22"/>
          <w:szCs w:val="22"/>
        </w:rPr>
        <w:t xml:space="preserve"> </w:t>
      </w:r>
      <w:proofErr w:type="spellStart"/>
      <w:r w:rsidR="00955054">
        <w:rPr>
          <w:rFonts w:ascii="Palatino Linotype" w:hAnsi="Palatino Linotype"/>
          <w:b/>
          <w:sz w:val="22"/>
          <w:szCs w:val="22"/>
        </w:rPr>
        <w:t>electrolyzer</w:t>
      </w:r>
      <w:proofErr w:type="spellEnd"/>
      <w:r w:rsidR="00955054">
        <w:rPr>
          <w:rFonts w:ascii="Palatino Linotype" w:hAnsi="Palatino Linotype"/>
          <w:b/>
          <w:sz w:val="22"/>
          <w:szCs w:val="22"/>
        </w:rPr>
        <w:t>, etc.</w:t>
      </w:r>
      <w:r>
        <w:rPr>
          <w:rFonts w:ascii="Palatino Linotype" w:hAnsi="Palatino Linotype"/>
          <w:b/>
          <w:sz w:val="22"/>
          <w:szCs w:val="22"/>
        </w:rPr>
        <w:t xml:space="preserve">) </w:t>
      </w:r>
      <w:r w:rsidRPr="00DF48E7">
        <w:rPr>
          <w:rFonts w:ascii="Palatino Linotype" w:hAnsi="Palatino Linotype"/>
          <w:b/>
          <w:sz w:val="22"/>
          <w:szCs w:val="22"/>
        </w:rPr>
        <w:t xml:space="preserve">and </w:t>
      </w:r>
      <w:r>
        <w:rPr>
          <w:rFonts w:ascii="Palatino Linotype" w:hAnsi="Palatino Linotype"/>
          <w:b/>
          <w:sz w:val="22"/>
          <w:szCs w:val="22"/>
        </w:rPr>
        <w:t xml:space="preserve">lead </w:t>
      </w:r>
      <w:r w:rsidR="00F1682E">
        <w:rPr>
          <w:rFonts w:ascii="Palatino Linotype" w:hAnsi="Palatino Linotype"/>
          <w:b/>
          <w:sz w:val="22"/>
          <w:szCs w:val="22"/>
        </w:rPr>
        <w:t>the project</w:t>
      </w:r>
      <w:r w:rsidRPr="00DF48E7">
        <w:rPr>
          <w:rFonts w:ascii="Palatino Linotype" w:hAnsi="Palatino Linotype"/>
          <w:b/>
          <w:sz w:val="22"/>
          <w:szCs w:val="22"/>
        </w:rPr>
        <w:t xml:space="preserve"> report</w:t>
      </w:r>
      <w:r w:rsidR="00F1682E">
        <w:rPr>
          <w:rFonts w:ascii="Palatino Linotype" w:hAnsi="Palatino Linotype"/>
          <w:b/>
          <w:sz w:val="22"/>
          <w:szCs w:val="22"/>
        </w:rPr>
        <w:t xml:space="preserve"> and</w:t>
      </w:r>
      <w:r>
        <w:rPr>
          <w:rFonts w:ascii="Palatino Linotype" w:hAnsi="Palatino Linotype"/>
          <w:b/>
          <w:sz w:val="22"/>
          <w:szCs w:val="22"/>
        </w:rPr>
        <w:t xml:space="preserve"> presentation</w:t>
      </w:r>
      <w:r w:rsidRPr="00DF48E7">
        <w:rPr>
          <w:rFonts w:ascii="Palatino Linotype" w:hAnsi="Palatino Linotype"/>
          <w:b/>
          <w:sz w:val="22"/>
          <w:szCs w:val="22"/>
        </w:rPr>
        <w:t>.</w:t>
      </w:r>
      <w:r w:rsidR="00955054">
        <w:rPr>
          <w:rFonts w:ascii="Palatino Linotype" w:hAnsi="Palatino Linotype"/>
          <w:b/>
          <w:sz w:val="22"/>
          <w:szCs w:val="22"/>
        </w:rPr>
        <w:t xml:space="preserve"> The project (report and presentation) counts </w:t>
      </w:r>
      <w:r w:rsidR="004C09E1">
        <w:rPr>
          <w:rFonts w:ascii="Palatino Linotype" w:hAnsi="Palatino Linotype"/>
          <w:b/>
          <w:sz w:val="22"/>
          <w:szCs w:val="22"/>
        </w:rPr>
        <w:t>15</w:t>
      </w:r>
      <w:r w:rsidR="00955054">
        <w:rPr>
          <w:rFonts w:ascii="Palatino Linotype" w:hAnsi="Palatino Linotype"/>
          <w:b/>
          <w:sz w:val="22"/>
          <w:szCs w:val="22"/>
        </w:rPr>
        <w:t xml:space="preserve">% of final grade. </w:t>
      </w:r>
      <w:r w:rsidR="00955054" w:rsidRPr="00955054">
        <w:rPr>
          <w:rFonts w:ascii="Palatino Linotype" w:hAnsi="Palatino Linotype"/>
          <w:b/>
          <w:sz w:val="22"/>
          <w:szCs w:val="22"/>
        </w:rPr>
        <w:t xml:space="preserve">Graduate students </w:t>
      </w:r>
      <w:r w:rsidR="00955054">
        <w:rPr>
          <w:rFonts w:ascii="Palatino Linotype" w:hAnsi="Palatino Linotype"/>
          <w:b/>
          <w:sz w:val="22"/>
          <w:szCs w:val="22"/>
        </w:rPr>
        <w:t xml:space="preserve">are </w:t>
      </w:r>
      <w:r w:rsidR="00955054" w:rsidRPr="00955054">
        <w:rPr>
          <w:rFonts w:ascii="Palatino Linotype" w:hAnsi="Palatino Linotype"/>
          <w:b/>
          <w:sz w:val="22"/>
          <w:szCs w:val="22"/>
        </w:rPr>
        <w:t>also required to write a short proposal based on the team project topic, including</w:t>
      </w:r>
      <w:r w:rsidR="00FE4DBF">
        <w:rPr>
          <w:rFonts w:ascii="Palatino Linotype" w:hAnsi="Palatino Linotype"/>
          <w:b/>
          <w:sz w:val="22"/>
          <w:szCs w:val="22"/>
        </w:rPr>
        <w:t xml:space="preserve"> research</w:t>
      </w:r>
      <w:r w:rsidR="00955054" w:rsidRPr="00955054">
        <w:rPr>
          <w:rFonts w:ascii="Palatino Linotype" w:hAnsi="Palatino Linotype"/>
          <w:b/>
          <w:sz w:val="22"/>
          <w:szCs w:val="22"/>
        </w:rPr>
        <w:t xml:space="preserve"> </w:t>
      </w:r>
      <w:r w:rsidR="00FE4DBF">
        <w:rPr>
          <w:rFonts w:ascii="Palatino Linotype" w:hAnsi="Palatino Linotype"/>
          <w:b/>
          <w:sz w:val="22"/>
          <w:szCs w:val="22"/>
        </w:rPr>
        <w:t xml:space="preserve">/ </w:t>
      </w:r>
      <w:r w:rsidR="00955054" w:rsidRPr="00955054">
        <w:rPr>
          <w:rFonts w:ascii="Palatino Linotype" w:hAnsi="Palatino Linotype"/>
          <w:b/>
          <w:sz w:val="22"/>
          <w:szCs w:val="22"/>
        </w:rPr>
        <w:t xml:space="preserve">technology development challenges and opportunities, proposed research plan, and expected research outcomes. The proposal will count </w:t>
      </w:r>
      <w:r w:rsidR="004C09E1">
        <w:rPr>
          <w:rFonts w:ascii="Palatino Linotype" w:hAnsi="Palatino Linotype"/>
          <w:b/>
          <w:sz w:val="22"/>
          <w:szCs w:val="22"/>
        </w:rPr>
        <w:t>15</w:t>
      </w:r>
      <w:r w:rsidR="00955054" w:rsidRPr="00955054">
        <w:rPr>
          <w:rFonts w:ascii="Palatino Linotype" w:hAnsi="Palatino Linotype"/>
          <w:b/>
          <w:sz w:val="22"/>
          <w:szCs w:val="22"/>
        </w:rPr>
        <w:t xml:space="preserve">% of the </w:t>
      </w:r>
      <w:r w:rsidR="004C09E1">
        <w:rPr>
          <w:rFonts w:ascii="Palatino Linotype" w:hAnsi="Palatino Linotype"/>
          <w:b/>
          <w:sz w:val="22"/>
          <w:szCs w:val="22"/>
        </w:rPr>
        <w:t>course</w:t>
      </w:r>
      <w:r w:rsidR="00955054" w:rsidRPr="00955054">
        <w:rPr>
          <w:rFonts w:ascii="Palatino Linotype" w:hAnsi="Palatino Linotype"/>
          <w:b/>
          <w:sz w:val="22"/>
          <w:szCs w:val="22"/>
        </w:rPr>
        <w:t xml:space="preserve"> grade.</w:t>
      </w:r>
      <w:r w:rsidR="00955054">
        <w:t xml:space="preserve">  </w:t>
      </w: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Reason(s) the course is considered sufficiently rigorous and of such an advanced nature as to challenge graduate students.</w:t>
      </w:r>
    </w:p>
    <w:p w:rsidR="00955054" w:rsidRPr="00955054" w:rsidRDefault="00955054" w:rsidP="00955054">
      <w:pPr>
        <w:ind w:firstLine="720"/>
        <w:jc w:val="both"/>
        <w:rPr>
          <w:rFonts w:ascii="Palatino Linotype" w:hAnsi="Palatino Linotype"/>
          <w:b/>
          <w:sz w:val="22"/>
          <w:szCs w:val="22"/>
        </w:rPr>
      </w:pPr>
      <w:r w:rsidRPr="00955054">
        <w:rPr>
          <w:rFonts w:ascii="Palatino Linotype" w:hAnsi="Palatino Linotype"/>
          <w:b/>
          <w:sz w:val="22"/>
          <w:szCs w:val="22"/>
        </w:rPr>
        <w:t xml:space="preserve">Electrochemical engineering is </w:t>
      </w:r>
      <w:r>
        <w:rPr>
          <w:rFonts w:ascii="Palatino Linotype" w:hAnsi="Palatino Linotype"/>
          <w:b/>
          <w:sz w:val="22"/>
          <w:szCs w:val="22"/>
        </w:rPr>
        <w:t>an emerging subarea of</w:t>
      </w:r>
      <w:r w:rsidRPr="00955054">
        <w:rPr>
          <w:rFonts w:ascii="Palatino Linotype" w:hAnsi="Palatino Linotype"/>
          <w:b/>
          <w:sz w:val="22"/>
          <w:szCs w:val="22"/>
        </w:rPr>
        <w:t xml:space="preserve"> chemical engineering and directly related with renewable electrical energy conversion and storage systems</w:t>
      </w:r>
      <w:r>
        <w:rPr>
          <w:rFonts w:ascii="Palatino Linotype" w:hAnsi="Palatino Linotype"/>
          <w:b/>
          <w:sz w:val="22"/>
          <w:szCs w:val="22"/>
        </w:rPr>
        <w:t>, and flexible, decentralized chemicals manufacturing</w:t>
      </w:r>
      <w:r w:rsidRPr="00955054">
        <w:rPr>
          <w:rFonts w:ascii="Palatino Linotype" w:hAnsi="Palatino Linotype"/>
          <w:b/>
          <w:sz w:val="22"/>
          <w:szCs w:val="22"/>
        </w:rPr>
        <w:t>. Electrochemical engineering</w:t>
      </w:r>
      <w:r>
        <w:rPr>
          <w:rFonts w:ascii="Palatino Linotype" w:hAnsi="Palatino Linotype"/>
          <w:b/>
          <w:sz w:val="22"/>
          <w:szCs w:val="22"/>
        </w:rPr>
        <w:t xml:space="preserve"> principles are based on and natural expansion of chemical engineering fundamental knowledge, including</w:t>
      </w:r>
      <w:r w:rsidRPr="00955054">
        <w:rPr>
          <w:rFonts w:ascii="Palatino Linotype" w:hAnsi="Palatino Linotype"/>
          <w:b/>
          <w:sz w:val="22"/>
          <w:szCs w:val="22"/>
        </w:rPr>
        <w:t xml:space="preserve"> </w:t>
      </w:r>
      <w:r>
        <w:rPr>
          <w:rFonts w:ascii="Palatino Linotype" w:hAnsi="Palatino Linotype"/>
          <w:b/>
          <w:sz w:val="22"/>
          <w:szCs w:val="22"/>
        </w:rPr>
        <w:t xml:space="preserve">thermodynamics, </w:t>
      </w:r>
      <w:r w:rsidRPr="00955054">
        <w:rPr>
          <w:rFonts w:ascii="Palatino Linotype" w:hAnsi="Palatino Linotype"/>
          <w:b/>
          <w:sz w:val="22"/>
          <w:szCs w:val="22"/>
        </w:rPr>
        <w:t xml:space="preserve">kinetics, </w:t>
      </w:r>
      <w:r>
        <w:rPr>
          <w:rFonts w:ascii="Palatino Linotype" w:hAnsi="Palatino Linotype"/>
          <w:b/>
          <w:sz w:val="22"/>
          <w:szCs w:val="22"/>
        </w:rPr>
        <w:t xml:space="preserve">transport, etc. Increasing number of graduate students will need advanced knowledge and skills in electrochemical engineering to better prepare them for their research in catalysis, reaction engineering, </w:t>
      </w:r>
      <w:proofErr w:type="spellStart"/>
      <w:r>
        <w:rPr>
          <w:rFonts w:ascii="Palatino Linotype" w:hAnsi="Palatino Linotype"/>
          <w:b/>
          <w:sz w:val="22"/>
          <w:szCs w:val="22"/>
        </w:rPr>
        <w:t>biorenewables</w:t>
      </w:r>
      <w:proofErr w:type="spellEnd"/>
      <w:r>
        <w:rPr>
          <w:rFonts w:ascii="Palatino Linotype" w:hAnsi="Palatino Linotype"/>
          <w:b/>
          <w:sz w:val="22"/>
          <w:szCs w:val="22"/>
        </w:rPr>
        <w:t xml:space="preserve"> and materials. However, presently ISU does not provide such an advanced course. The proposed electrochemical engineering course will meet this need. This course will cover e</w:t>
      </w:r>
      <w:r w:rsidRPr="00955054">
        <w:rPr>
          <w:rFonts w:ascii="Palatino Linotype" w:hAnsi="Palatino Linotype"/>
          <w:b/>
          <w:sz w:val="22"/>
          <w:szCs w:val="22"/>
        </w:rPr>
        <w:t xml:space="preserve">lectrochemical engineering fundamentals: thermodynamics, electrode kinetics, ionic mass transport, modeling and simulation, </w:t>
      </w:r>
      <w:proofErr w:type="spellStart"/>
      <w:r w:rsidRPr="00955054">
        <w:rPr>
          <w:rFonts w:ascii="Palatino Linotype" w:hAnsi="Palatino Linotype"/>
          <w:b/>
          <w:sz w:val="22"/>
          <w:szCs w:val="22"/>
        </w:rPr>
        <w:t>electroc</w:t>
      </w:r>
      <w:r w:rsidR="005B15FA">
        <w:rPr>
          <w:rFonts w:ascii="Palatino Linotype" w:hAnsi="Palatino Linotype"/>
          <w:b/>
          <w:sz w:val="22"/>
          <w:szCs w:val="22"/>
        </w:rPr>
        <w:t>atalysis</w:t>
      </w:r>
      <w:proofErr w:type="spellEnd"/>
      <w:r w:rsidR="005B15FA">
        <w:rPr>
          <w:rFonts w:ascii="Palatino Linotype" w:hAnsi="Palatino Linotype"/>
          <w:b/>
          <w:sz w:val="22"/>
          <w:szCs w:val="22"/>
        </w:rPr>
        <w:t>, electrochemical reaction</w:t>
      </w:r>
      <w:r w:rsidRPr="00955054">
        <w:rPr>
          <w:rFonts w:ascii="Palatino Linotype" w:hAnsi="Palatino Linotype"/>
          <w:b/>
          <w:sz w:val="22"/>
          <w:szCs w:val="22"/>
        </w:rPr>
        <w:t xml:space="preserve">s. Electrochemical engineering applications: industrial electrochemical processes, </w:t>
      </w:r>
      <w:proofErr w:type="spellStart"/>
      <w:r w:rsidRPr="00955054">
        <w:rPr>
          <w:rFonts w:ascii="Palatino Linotype" w:hAnsi="Palatino Linotype"/>
          <w:b/>
          <w:sz w:val="22"/>
          <w:szCs w:val="22"/>
        </w:rPr>
        <w:t>electrolyzers</w:t>
      </w:r>
      <w:proofErr w:type="spellEnd"/>
      <w:r w:rsidRPr="00955054">
        <w:rPr>
          <w:rFonts w:ascii="Palatino Linotype" w:hAnsi="Palatino Linotype"/>
          <w:b/>
          <w:sz w:val="22"/>
          <w:szCs w:val="22"/>
        </w:rPr>
        <w:t xml:space="preserve">, fuel cells and batteries.   Specific topics in electroanalytical spectroscopy, electrochemical conversion of </w:t>
      </w:r>
      <w:proofErr w:type="spellStart"/>
      <w:r w:rsidRPr="00955054">
        <w:rPr>
          <w:rFonts w:ascii="Palatino Linotype" w:hAnsi="Palatino Linotype"/>
          <w:b/>
          <w:sz w:val="22"/>
          <w:szCs w:val="22"/>
        </w:rPr>
        <w:t>biorenewables</w:t>
      </w:r>
      <w:proofErr w:type="spellEnd"/>
      <w:r w:rsidRPr="00955054">
        <w:rPr>
          <w:rFonts w:ascii="Palatino Linotype" w:hAnsi="Palatino Linotype"/>
          <w:b/>
          <w:sz w:val="22"/>
          <w:szCs w:val="22"/>
        </w:rPr>
        <w:t xml:space="preserve">, theoretical </w:t>
      </w:r>
      <w:proofErr w:type="spellStart"/>
      <w:r w:rsidRPr="00955054">
        <w:rPr>
          <w:rFonts w:ascii="Palatino Linotype" w:hAnsi="Palatino Linotype"/>
          <w:b/>
          <w:sz w:val="22"/>
          <w:szCs w:val="22"/>
        </w:rPr>
        <w:t>electrocatalysis</w:t>
      </w:r>
      <w:proofErr w:type="spellEnd"/>
      <w:r w:rsidRPr="00955054">
        <w:rPr>
          <w:rFonts w:ascii="Palatino Linotype" w:hAnsi="Palatino Linotype"/>
          <w:b/>
          <w:sz w:val="22"/>
          <w:szCs w:val="22"/>
        </w:rPr>
        <w:t xml:space="preserve">, </w:t>
      </w:r>
      <w:proofErr w:type="spellStart"/>
      <w:proofErr w:type="gramStart"/>
      <w:r w:rsidRPr="00955054">
        <w:rPr>
          <w:rFonts w:ascii="Palatino Linotype" w:hAnsi="Palatino Linotype"/>
          <w:b/>
          <w:sz w:val="22"/>
          <w:szCs w:val="22"/>
        </w:rPr>
        <w:t>photoelectrochemistry</w:t>
      </w:r>
      <w:proofErr w:type="spellEnd"/>
      <w:proofErr w:type="gramEnd"/>
      <w:r w:rsidRPr="00955054">
        <w:rPr>
          <w:rFonts w:ascii="Palatino Linotype" w:hAnsi="Palatino Linotype"/>
          <w:b/>
          <w:sz w:val="22"/>
          <w:szCs w:val="22"/>
        </w:rPr>
        <w:t xml:space="preserve"> will be introduced and basic electrochemical engineering lab demonstration will be offered.</w:t>
      </w:r>
      <w:r>
        <w:rPr>
          <w:rFonts w:ascii="Palatino Linotype" w:hAnsi="Palatino Linotype"/>
          <w:b/>
          <w:sz w:val="22"/>
          <w:szCs w:val="22"/>
        </w:rPr>
        <w:t xml:space="preserve"> Graduate students will have capability to apply the knowledge and skills acquired from this course to their future projects or research.</w:t>
      </w: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Academic advantages and disadvantages accruing to graduate students taking this course with undergraduates.</w:t>
      </w:r>
    </w:p>
    <w:p w:rsidR="00C02FFC" w:rsidRDefault="00276B17" w:rsidP="00C02FFC">
      <w:pPr>
        <w:rPr>
          <w:rFonts w:ascii="Palatino Linotype" w:hAnsi="Palatino Linotype"/>
          <w:b/>
          <w:sz w:val="22"/>
          <w:szCs w:val="22"/>
        </w:rPr>
      </w:pPr>
      <w:r w:rsidRPr="00276B17">
        <w:rPr>
          <w:rFonts w:ascii="Palatino Linotype" w:hAnsi="Palatino Linotype"/>
          <w:b/>
          <w:sz w:val="22"/>
          <w:szCs w:val="22"/>
        </w:rPr>
        <w:t xml:space="preserve">Advantages: </w:t>
      </w:r>
      <w:r>
        <w:rPr>
          <w:rFonts w:ascii="Palatino Linotype" w:hAnsi="Palatino Linotype"/>
          <w:b/>
          <w:sz w:val="22"/>
          <w:szCs w:val="22"/>
        </w:rPr>
        <w:t>to learn chemical engineering frontier areas in electrochemistry, energy and catalysis; to acquire mentoring skills from leading team project; to strengthen fundamental knowledge of thermodynamics, kinetics and transport; and to gain valuable skills from learning electrochemical engineering fundamentals and technologies.</w:t>
      </w:r>
    </w:p>
    <w:p w:rsidR="00FF49C6" w:rsidRDefault="00FF49C6" w:rsidP="00C02FFC">
      <w:pPr>
        <w:rPr>
          <w:rFonts w:ascii="Palatino Linotype" w:hAnsi="Palatino Linotype"/>
          <w:b/>
          <w:sz w:val="22"/>
          <w:szCs w:val="22"/>
        </w:rPr>
      </w:pPr>
    </w:p>
    <w:p w:rsidR="00276B17" w:rsidRPr="00FF49C6" w:rsidRDefault="00276B17" w:rsidP="00C02FFC">
      <w:pPr>
        <w:rPr>
          <w:rFonts w:ascii="Palatino Linotype" w:hAnsi="Palatino Linotype"/>
          <w:b/>
          <w:sz w:val="22"/>
          <w:szCs w:val="22"/>
        </w:rPr>
      </w:pPr>
      <w:r w:rsidRPr="00FF49C6">
        <w:rPr>
          <w:rFonts w:ascii="Palatino Linotype" w:hAnsi="Palatino Linotype"/>
          <w:b/>
          <w:sz w:val="22"/>
          <w:szCs w:val="22"/>
        </w:rPr>
        <w:t xml:space="preserve">Disadvantages: </w:t>
      </w:r>
      <w:r w:rsidR="00AA1474" w:rsidRPr="00FF49C6">
        <w:rPr>
          <w:rFonts w:ascii="Palatino Linotype" w:hAnsi="Palatino Linotype"/>
          <w:b/>
          <w:sz w:val="22"/>
          <w:szCs w:val="22"/>
        </w:rPr>
        <w:t xml:space="preserve">We recognize that two groups of students (undergraduate and graduate) may have different prior coursework preparation and skill sets, and graduate students may perceive the pace of the selected lectures that review electrochemistry fundamentals to be slow. It is likely students at two levels will benefit from reviewing the fundamentals that are relevant to electrochemical engineering before moving on to the applications of electrochemical engineering. We will encourage graduate to </w:t>
      </w:r>
      <w:r w:rsidR="002D260D" w:rsidRPr="00FF49C6">
        <w:rPr>
          <w:rFonts w:ascii="Palatino Linotype" w:hAnsi="Palatino Linotype"/>
          <w:b/>
          <w:sz w:val="22"/>
          <w:szCs w:val="22"/>
        </w:rPr>
        <w:t xml:space="preserve">team with undergraduate students to </w:t>
      </w:r>
      <w:r w:rsidR="00AA1474" w:rsidRPr="00FF49C6">
        <w:rPr>
          <w:rFonts w:ascii="Palatino Linotype" w:hAnsi="Palatino Linotype"/>
          <w:b/>
          <w:sz w:val="22"/>
          <w:szCs w:val="22"/>
        </w:rPr>
        <w:t>study the electrochemistry fundamentals (thermodynamics, kinetics and transport).</w:t>
      </w: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The place of the course in a graduate student’s program of study and why it is not considered a "remedial" undertaking intended to overcome deficiencies in the student’s preparation for graduate work.</w:t>
      </w:r>
    </w:p>
    <w:p w:rsidR="00C02FFC" w:rsidRPr="00276B17" w:rsidRDefault="00276B17" w:rsidP="00276B17">
      <w:pPr>
        <w:jc w:val="both"/>
        <w:rPr>
          <w:rFonts w:ascii="Palatino Linotype" w:hAnsi="Palatino Linotype"/>
          <w:b/>
          <w:sz w:val="22"/>
          <w:szCs w:val="22"/>
        </w:rPr>
      </w:pPr>
      <w:r w:rsidRPr="00276B17">
        <w:rPr>
          <w:rFonts w:ascii="Palatino Linotype" w:hAnsi="Palatino Linotype"/>
          <w:b/>
          <w:sz w:val="22"/>
          <w:szCs w:val="22"/>
        </w:rPr>
        <w:t>Electrochemical engineering is an important subarea of chemical engineering and is directly related with renewable</w:t>
      </w:r>
      <w:r w:rsidR="00D65451">
        <w:rPr>
          <w:rFonts w:ascii="Palatino Linotype" w:hAnsi="Palatino Linotype"/>
          <w:b/>
          <w:sz w:val="22"/>
          <w:szCs w:val="22"/>
        </w:rPr>
        <w:t xml:space="preserve"> electricity</w:t>
      </w:r>
      <w:r w:rsidRPr="00276B17">
        <w:rPr>
          <w:rFonts w:ascii="Palatino Linotype" w:hAnsi="Palatino Linotype"/>
          <w:b/>
          <w:sz w:val="22"/>
          <w:szCs w:val="22"/>
        </w:rPr>
        <w:t xml:space="preserve"> conversion and storage, and </w:t>
      </w:r>
      <w:r w:rsidR="00D65451">
        <w:rPr>
          <w:rFonts w:ascii="Palatino Linotype" w:hAnsi="Palatino Linotype"/>
          <w:b/>
          <w:sz w:val="22"/>
          <w:szCs w:val="22"/>
        </w:rPr>
        <w:t>sustainable</w:t>
      </w:r>
      <w:r w:rsidRPr="00276B17">
        <w:rPr>
          <w:rFonts w:ascii="Palatino Linotype" w:hAnsi="Palatino Linotype"/>
          <w:b/>
          <w:sz w:val="22"/>
          <w:szCs w:val="22"/>
        </w:rPr>
        <w:t xml:space="preserve"> chemical manufactu</w:t>
      </w:r>
      <w:r w:rsidR="00D65451">
        <w:rPr>
          <w:rFonts w:ascii="Palatino Linotype" w:hAnsi="Palatino Linotype"/>
          <w:b/>
          <w:sz w:val="22"/>
          <w:szCs w:val="22"/>
        </w:rPr>
        <w:t>ring processes and technologies.</w:t>
      </w:r>
      <w:r w:rsidRPr="00276B17">
        <w:rPr>
          <w:rFonts w:ascii="Palatino Linotype" w:hAnsi="Palatino Linotype"/>
          <w:b/>
          <w:sz w:val="22"/>
          <w:szCs w:val="22"/>
        </w:rPr>
        <w:t xml:space="preserve"> </w:t>
      </w:r>
      <w:r w:rsidR="00D65451">
        <w:rPr>
          <w:rFonts w:ascii="Palatino Linotype" w:hAnsi="Palatino Linotype"/>
          <w:b/>
          <w:sz w:val="22"/>
          <w:szCs w:val="22"/>
        </w:rPr>
        <w:t>M</w:t>
      </w:r>
      <w:r>
        <w:rPr>
          <w:rFonts w:ascii="Palatino Linotype" w:hAnsi="Palatino Linotype"/>
          <w:b/>
          <w:sz w:val="22"/>
          <w:szCs w:val="22"/>
        </w:rPr>
        <w:t>ore and more graduate students will conduc</w:t>
      </w:r>
      <w:r w:rsidR="00D65451">
        <w:rPr>
          <w:rFonts w:ascii="Palatino Linotype" w:hAnsi="Palatino Linotype"/>
          <w:b/>
          <w:sz w:val="22"/>
          <w:szCs w:val="22"/>
        </w:rPr>
        <w:t xml:space="preserve">t research in electrochemical engineering, </w:t>
      </w:r>
      <w:r>
        <w:rPr>
          <w:rFonts w:ascii="Palatino Linotype" w:hAnsi="Palatino Linotype"/>
          <w:b/>
          <w:sz w:val="22"/>
          <w:szCs w:val="22"/>
        </w:rPr>
        <w:t xml:space="preserve">electrochemical </w:t>
      </w:r>
      <w:r w:rsidR="00D65451">
        <w:rPr>
          <w:rFonts w:ascii="Palatino Linotype" w:hAnsi="Palatino Linotype"/>
          <w:b/>
          <w:sz w:val="22"/>
          <w:szCs w:val="22"/>
        </w:rPr>
        <w:t xml:space="preserve">materials, electrochemical processes and </w:t>
      </w:r>
      <w:r>
        <w:rPr>
          <w:rFonts w:ascii="Palatino Linotype" w:hAnsi="Palatino Linotype"/>
          <w:b/>
          <w:sz w:val="22"/>
          <w:szCs w:val="22"/>
        </w:rPr>
        <w:t xml:space="preserve">devices, </w:t>
      </w:r>
      <w:r w:rsidRPr="00276B17">
        <w:rPr>
          <w:rFonts w:ascii="Palatino Linotype" w:hAnsi="Palatino Linotype"/>
          <w:b/>
          <w:sz w:val="22"/>
          <w:szCs w:val="22"/>
        </w:rPr>
        <w:t>however, there are very few courses</w:t>
      </w:r>
      <w:r w:rsidR="00D65451">
        <w:rPr>
          <w:rFonts w:ascii="Palatino Linotype" w:hAnsi="Palatino Linotype"/>
          <w:b/>
          <w:sz w:val="22"/>
          <w:szCs w:val="22"/>
        </w:rPr>
        <w:t xml:space="preserve"> offered to</w:t>
      </w:r>
      <w:r w:rsidRPr="00276B17">
        <w:rPr>
          <w:rFonts w:ascii="Palatino Linotype" w:hAnsi="Palatino Linotype"/>
          <w:b/>
          <w:sz w:val="22"/>
          <w:szCs w:val="22"/>
        </w:rPr>
        <w:t xml:space="preserve"> </w:t>
      </w:r>
      <w:r>
        <w:rPr>
          <w:rFonts w:ascii="Palatino Linotype" w:hAnsi="Palatino Linotype"/>
          <w:b/>
          <w:sz w:val="22"/>
          <w:szCs w:val="22"/>
        </w:rPr>
        <w:t>specifically</w:t>
      </w:r>
      <w:r w:rsidR="00D65451">
        <w:rPr>
          <w:rFonts w:ascii="Palatino Linotype" w:hAnsi="Palatino Linotype"/>
          <w:b/>
          <w:sz w:val="22"/>
          <w:szCs w:val="22"/>
        </w:rPr>
        <w:t xml:space="preserve"> support these related research. Electrochemic</w:t>
      </w:r>
      <w:r w:rsidR="00F1682E">
        <w:rPr>
          <w:rFonts w:ascii="Palatino Linotype" w:hAnsi="Palatino Linotype"/>
          <w:b/>
          <w:sz w:val="22"/>
          <w:szCs w:val="22"/>
        </w:rPr>
        <w:t xml:space="preserve">al Engineering will serve as a new </w:t>
      </w:r>
      <w:r w:rsidR="00D65451">
        <w:rPr>
          <w:rFonts w:ascii="Palatino Linotype" w:hAnsi="Palatino Linotype"/>
          <w:b/>
          <w:sz w:val="22"/>
          <w:szCs w:val="22"/>
        </w:rPr>
        <w:t xml:space="preserve">elective course to meet the graduate students’ </w:t>
      </w:r>
      <w:r w:rsidR="00F1682E">
        <w:rPr>
          <w:rFonts w:ascii="Palatino Linotype" w:hAnsi="Palatino Linotype"/>
          <w:b/>
          <w:sz w:val="22"/>
          <w:szCs w:val="22"/>
        </w:rPr>
        <w:t xml:space="preserve">education </w:t>
      </w:r>
      <w:r w:rsidR="00D65451">
        <w:rPr>
          <w:rFonts w:ascii="Palatino Linotype" w:hAnsi="Palatino Linotype"/>
          <w:b/>
          <w:sz w:val="22"/>
          <w:szCs w:val="22"/>
        </w:rPr>
        <w:t>need.</w:t>
      </w: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The role of the course in an undergraduate’s degree program and the academic qualifications undergraduates must have to take this course.</w:t>
      </w:r>
    </w:p>
    <w:p w:rsidR="00C02FFC" w:rsidRPr="00326514" w:rsidRDefault="00D65451" w:rsidP="00C02FFC">
      <w:pPr>
        <w:rPr>
          <w:rFonts w:ascii="Palatino Linotype" w:hAnsi="Palatino Linotype"/>
          <w:b/>
          <w:sz w:val="22"/>
          <w:szCs w:val="22"/>
        </w:rPr>
      </w:pPr>
      <w:r w:rsidRPr="00D65451">
        <w:rPr>
          <w:rFonts w:ascii="Palatino Linotype" w:hAnsi="Palatino Linotype"/>
          <w:b/>
          <w:sz w:val="22"/>
          <w:szCs w:val="22"/>
        </w:rPr>
        <w:t>This c</w:t>
      </w:r>
      <w:r w:rsidR="00326514" w:rsidRPr="00326514">
        <w:rPr>
          <w:rFonts w:ascii="Palatino Linotype" w:hAnsi="Palatino Linotype"/>
          <w:b/>
          <w:sz w:val="22"/>
          <w:szCs w:val="22"/>
        </w:rPr>
        <w:t xml:space="preserve">ourse is for advanced undergraduates (juniors and seniors). Undergraduate can apply this course towards the chemical engineering electives or professional </w:t>
      </w:r>
      <w:r w:rsidR="00AA1474" w:rsidRPr="00FF49C6">
        <w:rPr>
          <w:rFonts w:ascii="Palatino Linotype" w:hAnsi="Palatino Linotype"/>
          <w:b/>
          <w:sz w:val="22"/>
          <w:szCs w:val="22"/>
        </w:rPr>
        <w:t>elective</w:t>
      </w:r>
      <w:r w:rsidR="00326514" w:rsidRPr="00FF49C6">
        <w:rPr>
          <w:rFonts w:ascii="Palatino Linotype" w:hAnsi="Palatino Linotype"/>
          <w:b/>
          <w:sz w:val="22"/>
          <w:szCs w:val="22"/>
        </w:rPr>
        <w:t xml:space="preserve"> requirement</w:t>
      </w:r>
      <w:r w:rsidR="00326514" w:rsidRPr="00326514">
        <w:rPr>
          <w:rFonts w:ascii="Palatino Linotype" w:hAnsi="Palatino Linotype"/>
          <w:b/>
          <w:sz w:val="22"/>
          <w:szCs w:val="22"/>
        </w:rPr>
        <w:t>.</w:t>
      </w:r>
    </w:p>
    <w:p w:rsidR="00C02FFC" w:rsidRDefault="00C02FFC" w:rsidP="00C02FFC">
      <w:pPr>
        <w:rPr>
          <w:rFonts w:ascii="Palatino Linotype" w:hAnsi="Palatino Linotype"/>
          <w:sz w:val="22"/>
          <w:szCs w:val="22"/>
        </w:rPr>
      </w:pPr>
    </w:p>
    <w:p w:rsidR="00C02FFC" w:rsidRDefault="00C02FFC" w:rsidP="00F31C91">
      <w:pPr>
        <w:numPr>
          <w:ilvl w:val="0"/>
          <w:numId w:val="6"/>
        </w:numPr>
        <w:rPr>
          <w:rFonts w:ascii="Palatino Linotype" w:hAnsi="Palatino Linotype"/>
          <w:sz w:val="22"/>
          <w:szCs w:val="22"/>
        </w:rPr>
      </w:pPr>
      <w:r w:rsidRPr="00BE6C4F">
        <w:rPr>
          <w:rFonts w:ascii="Palatino Linotype" w:hAnsi="Palatino Linotype"/>
          <w:sz w:val="22"/>
          <w:szCs w:val="22"/>
        </w:rPr>
        <w:t>The name of the person writing the proposal.</w:t>
      </w:r>
    </w:p>
    <w:p w:rsidR="00C02FFC" w:rsidRPr="00DF48E7" w:rsidRDefault="00DF48E7" w:rsidP="00C02FFC">
      <w:pPr>
        <w:rPr>
          <w:rFonts w:ascii="Palatino Linotype" w:hAnsi="Palatino Linotype"/>
          <w:b/>
          <w:sz w:val="22"/>
          <w:szCs w:val="22"/>
        </w:rPr>
      </w:pPr>
      <w:r w:rsidRPr="00DF48E7">
        <w:rPr>
          <w:rFonts w:ascii="Palatino Linotype" w:hAnsi="Palatino Linotype"/>
          <w:b/>
          <w:sz w:val="22"/>
          <w:szCs w:val="22"/>
        </w:rPr>
        <w:t>Wenzhen Li</w:t>
      </w:r>
    </w:p>
    <w:sectPr w:rsidR="00C02FFC" w:rsidRPr="00DF48E7" w:rsidSect="00C02FFC">
      <w:headerReference w:type="default" r:id="rId9"/>
      <w:footerReference w:type="default" r:id="rId10"/>
      <w:footerReference w:type="first" r:id="rId11"/>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58D" w:rsidRDefault="002D058D">
      <w:r>
        <w:separator/>
      </w:r>
    </w:p>
  </w:endnote>
  <w:endnote w:type="continuationSeparator" w:id="0">
    <w:p w:rsidR="002D058D" w:rsidRDefault="002D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keley">
    <w:altName w:val="Cambria"/>
    <w:panose1 w:val="00000000000000000000"/>
    <w:charset w:val="00"/>
    <w:family w:val="moder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Univers-LightObliq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FC" w:rsidRPr="00DC3C5B" w:rsidRDefault="00C02FFC" w:rsidP="00C02FFC">
    <w:pPr>
      <w:pStyle w:val="Footer"/>
      <w:tabs>
        <w:tab w:val="clear" w:pos="8640"/>
        <w:tab w:val="right" w:pos="9840"/>
      </w:tabs>
      <w:rPr>
        <w:rFonts w:ascii="Univers" w:hAnsi="Univers"/>
        <w:sz w:val="20"/>
        <w:szCs w:val="20"/>
      </w:rPr>
    </w:pPr>
    <w:r w:rsidRPr="00DC3C5B">
      <w:rPr>
        <w:rFonts w:ascii="Univers" w:hAnsi="Univers"/>
        <w:sz w:val="20"/>
        <w:szCs w:val="20"/>
      </w:rPr>
      <w:t>http://www.grad-college.iastate.edu/forms/files/duallisted.doc</w:t>
    </w:r>
    <w:r w:rsidR="00F31C91">
      <w:rPr>
        <w:rFonts w:ascii="Univers" w:hAnsi="Univers"/>
        <w:sz w:val="20"/>
        <w:szCs w:val="20"/>
      </w:rPr>
      <w:tab/>
      <w:t>GC Jan 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FC" w:rsidRPr="00DC3C5B" w:rsidRDefault="00C02FFC" w:rsidP="00C02FFC">
    <w:pPr>
      <w:pStyle w:val="Footer"/>
      <w:tabs>
        <w:tab w:val="clear" w:pos="8640"/>
        <w:tab w:val="right" w:pos="9840"/>
      </w:tabs>
      <w:rPr>
        <w:rFonts w:ascii="Univers" w:hAnsi="Univers"/>
        <w:sz w:val="20"/>
        <w:szCs w:val="20"/>
      </w:rPr>
    </w:pPr>
    <w:r w:rsidRPr="00DC3C5B">
      <w:rPr>
        <w:rFonts w:ascii="Univers" w:hAnsi="Univers"/>
        <w:sz w:val="20"/>
        <w:szCs w:val="20"/>
      </w:rPr>
      <w:t>http://www.grad-college.iastate.edu/forms/files/duallisted.doc</w:t>
    </w:r>
    <w:r>
      <w:rPr>
        <w:rFonts w:ascii="Univers" w:hAnsi="Univers"/>
        <w:sz w:val="20"/>
        <w:szCs w:val="20"/>
      </w:rPr>
      <w:tab/>
      <w:t>GC 11/05</w:t>
    </w:r>
  </w:p>
  <w:p w:rsidR="00C02FFC" w:rsidRDefault="00C02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58D" w:rsidRDefault="002D058D">
      <w:r>
        <w:separator/>
      </w:r>
    </w:p>
  </w:footnote>
  <w:footnote w:type="continuationSeparator" w:id="0">
    <w:p w:rsidR="002D058D" w:rsidRDefault="002D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FFC" w:rsidRPr="00A40A6B" w:rsidRDefault="00C02FFC" w:rsidP="00C02FFC">
    <w:pPr>
      <w:pStyle w:val="Header"/>
      <w:jc w:val="center"/>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41A5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E66A1"/>
    <w:multiLevelType w:val="hybridMultilevel"/>
    <w:tmpl w:val="F788DB50"/>
    <w:lvl w:ilvl="0" w:tplc="0409000F">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8166B33"/>
    <w:multiLevelType w:val="hybridMultilevel"/>
    <w:tmpl w:val="BE8EC51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ABE4405"/>
    <w:multiLevelType w:val="hybridMultilevel"/>
    <w:tmpl w:val="787CB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07AA9"/>
    <w:multiLevelType w:val="hybridMultilevel"/>
    <w:tmpl w:val="95C42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365F1"/>
    <w:multiLevelType w:val="hybridMultilevel"/>
    <w:tmpl w:val="424E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9509AF"/>
    <w:multiLevelType w:val="hybridMultilevel"/>
    <w:tmpl w:val="4AD09E9C"/>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52583C99"/>
    <w:multiLevelType w:val="multilevel"/>
    <w:tmpl w:val="4AD09E9C"/>
    <w:lvl w:ilvl="0">
      <w:start w:val="1"/>
      <w:numFmt w:val="bullet"/>
      <w:lvlText w:val=""/>
      <w:lvlJc w:val="left"/>
      <w:pPr>
        <w:tabs>
          <w:tab w:val="num" w:pos="780"/>
        </w:tabs>
        <w:ind w:left="780" w:hanging="360"/>
      </w:pPr>
      <w:rPr>
        <w:rFonts w:ascii="Symbol" w:hAnsi="Symbol"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 w15:restartNumberingAfterBreak="0">
    <w:nsid w:val="6EDB15E7"/>
    <w:multiLevelType w:val="hybridMultilevel"/>
    <w:tmpl w:val="F83A87E8"/>
    <w:lvl w:ilvl="0" w:tplc="8E48EE00">
      <w:start w:val="1"/>
      <w:numFmt w:val="bullet"/>
      <w:lvlText w:val=""/>
      <w:lvlJc w:val="left"/>
      <w:pPr>
        <w:ind w:left="122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8"/>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4F"/>
    <w:rsid w:val="001028C4"/>
    <w:rsid w:val="0011702D"/>
    <w:rsid w:val="00210432"/>
    <w:rsid w:val="00222BF6"/>
    <w:rsid w:val="00223A07"/>
    <w:rsid w:val="00276B17"/>
    <w:rsid w:val="002D058D"/>
    <w:rsid w:val="002D260D"/>
    <w:rsid w:val="002F4A05"/>
    <w:rsid w:val="00326514"/>
    <w:rsid w:val="00340255"/>
    <w:rsid w:val="00366150"/>
    <w:rsid w:val="003B0EB3"/>
    <w:rsid w:val="004C09E1"/>
    <w:rsid w:val="004D57E5"/>
    <w:rsid w:val="00554CCF"/>
    <w:rsid w:val="005B15FA"/>
    <w:rsid w:val="005D1099"/>
    <w:rsid w:val="0061408B"/>
    <w:rsid w:val="007068C7"/>
    <w:rsid w:val="007A7D90"/>
    <w:rsid w:val="008616E8"/>
    <w:rsid w:val="00883FD7"/>
    <w:rsid w:val="00955054"/>
    <w:rsid w:val="00A1411D"/>
    <w:rsid w:val="00AA1474"/>
    <w:rsid w:val="00BE6C4F"/>
    <w:rsid w:val="00C02FFC"/>
    <w:rsid w:val="00CD4C2C"/>
    <w:rsid w:val="00D65451"/>
    <w:rsid w:val="00D92A08"/>
    <w:rsid w:val="00DB405C"/>
    <w:rsid w:val="00DD0E77"/>
    <w:rsid w:val="00DD6133"/>
    <w:rsid w:val="00DF48E7"/>
    <w:rsid w:val="00E60132"/>
    <w:rsid w:val="00EB677C"/>
    <w:rsid w:val="00EC57BE"/>
    <w:rsid w:val="00EE2B1B"/>
    <w:rsid w:val="00EF082F"/>
    <w:rsid w:val="00F1682E"/>
    <w:rsid w:val="00F31C91"/>
    <w:rsid w:val="00FE4DBF"/>
    <w:rsid w:val="00FF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A129E0-32B6-4E8B-802C-52180FBC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C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3C5B"/>
    <w:pPr>
      <w:tabs>
        <w:tab w:val="center" w:pos="4320"/>
        <w:tab w:val="right" w:pos="8640"/>
      </w:tabs>
    </w:pPr>
  </w:style>
  <w:style w:type="paragraph" w:styleId="Footer">
    <w:name w:val="footer"/>
    <w:basedOn w:val="Normal"/>
    <w:rsid w:val="00DC3C5B"/>
    <w:pPr>
      <w:tabs>
        <w:tab w:val="center" w:pos="4320"/>
        <w:tab w:val="right" w:pos="8640"/>
      </w:tabs>
    </w:pPr>
  </w:style>
  <w:style w:type="character" w:styleId="Hyperlink">
    <w:name w:val="Hyperlink"/>
    <w:rsid w:val="00DC3C5B"/>
    <w:rPr>
      <w:color w:val="0000FF"/>
      <w:u w:val="single"/>
    </w:rPr>
  </w:style>
  <w:style w:type="paragraph" w:styleId="BalloonText">
    <w:name w:val="Balloon Text"/>
    <w:basedOn w:val="Normal"/>
    <w:link w:val="BalloonTextChar"/>
    <w:rsid w:val="005B15FA"/>
    <w:rPr>
      <w:rFonts w:ascii="Segoe UI" w:hAnsi="Segoe UI" w:cs="Segoe UI"/>
      <w:sz w:val="18"/>
      <w:szCs w:val="18"/>
    </w:rPr>
  </w:style>
  <w:style w:type="character" w:customStyle="1" w:styleId="BalloonTextChar">
    <w:name w:val="Balloon Text Char"/>
    <w:link w:val="BalloonText"/>
    <w:rsid w:val="005B15F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8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38B6-79A1-4639-B8EA-3FB3721B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8571</CharactersWithSpaces>
  <SharedDoc>false</SharedDoc>
  <HLinks>
    <vt:vector size="6" baseType="variant">
      <vt:variant>
        <vt:i4>7536668</vt:i4>
      </vt:variant>
      <vt:variant>
        <vt:i4>-1</vt:i4>
      </vt:variant>
      <vt:variant>
        <vt:i4>1027</vt:i4>
      </vt:variant>
      <vt:variant>
        <vt:i4>1</vt:i4>
      </vt:variant>
      <vt:variant>
        <vt:lpwstr>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dc:creator>
  <cp:keywords/>
  <dc:description/>
  <cp:lastModifiedBy>Strand, Judith K [G COL]</cp:lastModifiedBy>
  <cp:revision>2</cp:revision>
  <cp:lastPrinted>2017-05-12T15:48:00Z</cp:lastPrinted>
  <dcterms:created xsi:type="dcterms:W3CDTF">2017-10-16T14:40:00Z</dcterms:created>
  <dcterms:modified xsi:type="dcterms:W3CDTF">2017-10-16T14:40:00Z</dcterms:modified>
</cp:coreProperties>
</file>