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FD77A5">
        <w:t>MINUTES</w:t>
      </w:r>
    </w:p>
    <w:p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trPr>
          <w:trHeight w:val="292"/>
        </w:trPr>
        <w:tc>
          <w:tcPr>
            <w:tcW w:w="5328" w:type="dxa"/>
            <w:tcBorders>
              <w:top w:val="nil"/>
              <w:left w:val="nil"/>
              <w:bottom w:val="nil"/>
              <w:right w:val="nil"/>
            </w:tcBorders>
            <w:shd w:val="clear" w:color="auto" w:fill="000000"/>
          </w:tcPr>
          <w:p w:rsidR="0044529C" w:rsidRDefault="004546B8">
            <w:pPr>
              <w:pStyle w:val="TableParagraph"/>
              <w:spacing w:before="16" w:line="256" w:lineRule="exact"/>
              <w:ind w:left="115"/>
              <w:rPr>
                <w:b/>
                <w:i/>
              </w:rPr>
            </w:pPr>
            <w:r>
              <w:rPr>
                <w:b/>
                <w:i/>
                <w:color w:val="FFFFFF"/>
              </w:rPr>
              <w:t>Meeting: Graduate Council</w:t>
            </w:r>
          </w:p>
        </w:tc>
        <w:tc>
          <w:tcPr>
            <w:tcW w:w="5376" w:type="dxa"/>
            <w:tcBorders>
              <w:top w:val="nil"/>
              <w:left w:val="nil"/>
              <w:bottom w:val="nil"/>
              <w:right w:val="nil"/>
            </w:tcBorders>
            <w:shd w:val="clear" w:color="auto" w:fill="000000"/>
          </w:tcPr>
          <w:p w:rsidR="0044529C" w:rsidRDefault="004546B8">
            <w:pPr>
              <w:pStyle w:val="TableParagraph"/>
              <w:spacing w:before="16" w:line="256" w:lineRule="exact"/>
              <w:ind w:left="115"/>
              <w:rPr>
                <w:b/>
                <w:i/>
              </w:rPr>
            </w:pPr>
            <w:bookmarkStart w:id="2" w:name="Key_Roles"/>
            <w:bookmarkEnd w:id="2"/>
            <w:r>
              <w:rPr>
                <w:b/>
                <w:i/>
                <w:color w:val="FFFFFF"/>
              </w:rPr>
              <w:t>Key Roles</w:t>
            </w:r>
          </w:p>
        </w:tc>
      </w:tr>
      <w:tr w:rsidR="0044529C">
        <w:trPr>
          <w:trHeight w:val="529"/>
        </w:trPr>
        <w:tc>
          <w:tcPr>
            <w:tcW w:w="5328" w:type="dxa"/>
          </w:tcPr>
          <w:p w:rsidR="0044529C" w:rsidRDefault="006A5624">
            <w:pPr>
              <w:pStyle w:val="TableParagraph"/>
              <w:spacing w:line="260" w:lineRule="exact"/>
            </w:pPr>
            <w:r>
              <w:t xml:space="preserve">Date: </w:t>
            </w:r>
            <w:r w:rsidR="00697908">
              <w:t>April 21</w:t>
            </w:r>
            <w:r w:rsidR="0094002B">
              <w:t>, 2021</w:t>
            </w:r>
          </w:p>
          <w:p w:rsidR="0044529C" w:rsidRDefault="004546B8" w:rsidP="006A5624">
            <w:pPr>
              <w:pStyle w:val="TableParagraph"/>
              <w:spacing w:line="249" w:lineRule="exact"/>
            </w:pPr>
            <w:r>
              <w:t xml:space="preserve">Place: </w:t>
            </w:r>
            <w:proofErr w:type="spellStart"/>
            <w:r w:rsidR="006A5624">
              <w:t>Webex</w:t>
            </w:r>
            <w:proofErr w:type="spellEnd"/>
          </w:p>
        </w:tc>
        <w:tc>
          <w:tcPr>
            <w:tcW w:w="5376" w:type="dxa"/>
          </w:tcPr>
          <w:p w:rsidR="0044529C" w:rsidRDefault="004546B8">
            <w:pPr>
              <w:pStyle w:val="TableParagraph"/>
              <w:spacing w:line="260" w:lineRule="exact"/>
            </w:pPr>
            <w:r>
              <w:t>Meeting Leader: Bethany Gray, Chair</w:t>
            </w:r>
          </w:p>
        </w:tc>
      </w:tr>
      <w:tr w:rsidR="0044529C">
        <w:trPr>
          <w:trHeight w:val="268"/>
        </w:trPr>
        <w:tc>
          <w:tcPr>
            <w:tcW w:w="5328" w:type="dxa"/>
          </w:tcPr>
          <w:p w:rsidR="0044529C" w:rsidRDefault="004546B8">
            <w:pPr>
              <w:pStyle w:val="TableParagraph"/>
              <w:spacing w:line="248" w:lineRule="exact"/>
            </w:pPr>
            <w:r>
              <w:t>Start Time: 4:15 pm</w:t>
            </w:r>
          </w:p>
        </w:tc>
        <w:tc>
          <w:tcPr>
            <w:tcW w:w="5376" w:type="dxa"/>
          </w:tcPr>
          <w:p w:rsidR="0044529C" w:rsidRDefault="004546B8" w:rsidP="004616A5">
            <w:pPr>
              <w:pStyle w:val="TableParagraph"/>
              <w:spacing w:line="248" w:lineRule="exact"/>
            </w:pPr>
            <w:r>
              <w:t xml:space="preserve">Support: Natalie Robinson, </w:t>
            </w:r>
            <w:r w:rsidR="006A5624">
              <w:t>S</w:t>
            </w:r>
            <w:r w:rsidR="004616A5">
              <w:t>amantha Hirschman</w:t>
            </w:r>
          </w:p>
        </w:tc>
      </w:tr>
      <w:tr w:rsidR="0044529C">
        <w:trPr>
          <w:trHeight w:val="268"/>
        </w:trPr>
        <w:tc>
          <w:tcPr>
            <w:tcW w:w="5328" w:type="dxa"/>
          </w:tcPr>
          <w:p w:rsidR="0044529C" w:rsidRDefault="004546B8">
            <w:pPr>
              <w:pStyle w:val="TableParagraph"/>
              <w:spacing w:line="248" w:lineRule="exact"/>
            </w:pPr>
            <w:r>
              <w:t>End Time: 5:30 pm</w:t>
            </w:r>
          </w:p>
        </w:tc>
        <w:tc>
          <w:tcPr>
            <w:tcW w:w="5376" w:type="dxa"/>
          </w:tcPr>
          <w:p w:rsidR="0044529C" w:rsidRDefault="0044529C">
            <w:pPr>
              <w:pStyle w:val="TableParagraph"/>
              <w:spacing w:line="248" w:lineRule="exact"/>
            </w:pPr>
          </w:p>
        </w:tc>
      </w:tr>
    </w:tbl>
    <w:p w:rsidR="0044529C" w:rsidRDefault="0044529C">
      <w:pPr>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trPr>
          <w:trHeight w:val="575"/>
        </w:trPr>
        <w:tc>
          <w:tcPr>
            <w:tcW w:w="900" w:type="dxa"/>
          </w:tcPr>
          <w:p w:rsidR="0044529C" w:rsidRDefault="004546B8">
            <w:pPr>
              <w:pStyle w:val="TableParagraph"/>
            </w:pPr>
            <w:r>
              <w:t>TIME</w:t>
            </w:r>
          </w:p>
        </w:tc>
        <w:tc>
          <w:tcPr>
            <w:tcW w:w="7471" w:type="dxa"/>
          </w:tcPr>
          <w:p w:rsidR="0044529C" w:rsidRDefault="004546B8">
            <w:pPr>
              <w:pStyle w:val="TableParagraph"/>
            </w:pPr>
            <w:r>
              <w:t>TOPIC</w:t>
            </w:r>
          </w:p>
        </w:tc>
        <w:tc>
          <w:tcPr>
            <w:tcW w:w="2340" w:type="dxa"/>
          </w:tcPr>
          <w:p w:rsidR="0044529C" w:rsidRDefault="004546B8">
            <w:pPr>
              <w:pStyle w:val="TableParagraph"/>
              <w:ind w:left="105"/>
            </w:pPr>
            <w:r>
              <w:t>DISCUSSION LEADER</w:t>
            </w:r>
          </w:p>
        </w:tc>
      </w:tr>
      <w:tr w:rsidR="0044529C">
        <w:trPr>
          <w:trHeight w:val="817"/>
        </w:trPr>
        <w:tc>
          <w:tcPr>
            <w:tcW w:w="900" w:type="dxa"/>
          </w:tcPr>
          <w:p w:rsidR="0044529C" w:rsidRDefault="004546B8">
            <w:pPr>
              <w:pStyle w:val="TableParagraph"/>
            </w:pPr>
            <w:r>
              <w:t>4:15</w:t>
            </w:r>
          </w:p>
        </w:tc>
        <w:tc>
          <w:tcPr>
            <w:tcW w:w="7471" w:type="dxa"/>
          </w:tcPr>
          <w:p w:rsidR="0044529C" w:rsidRDefault="004546B8">
            <w:pPr>
              <w:pStyle w:val="TableParagraph"/>
            </w:pPr>
            <w:r>
              <w:t>Call to Order</w:t>
            </w:r>
          </w:p>
          <w:p w:rsidR="0044529C" w:rsidRDefault="004546B8">
            <w:pPr>
              <w:pStyle w:val="TableParagraph"/>
              <w:numPr>
                <w:ilvl w:val="0"/>
                <w:numId w:val="6"/>
              </w:numPr>
              <w:tabs>
                <w:tab w:val="left" w:pos="827"/>
                <w:tab w:val="left" w:pos="828"/>
              </w:tabs>
              <w:spacing w:line="240" w:lineRule="auto"/>
            </w:pPr>
            <w:r>
              <w:t>Attendance and seating of substitute council</w:t>
            </w:r>
            <w:r>
              <w:rPr>
                <w:spacing w:val="-15"/>
              </w:rPr>
              <w:t xml:space="preserve"> </w:t>
            </w:r>
            <w:r>
              <w:t>members</w:t>
            </w:r>
          </w:p>
        </w:tc>
        <w:tc>
          <w:tcPr>
            <w:tcW w:w="2340" w:type="dxa"/>
          </w:tcPr>
          <w:p w:rsidR="0044529C" w:rsidRDefault="004546B8">
            <w:pPr>
              <w:pStyle w:val="TableParagraph"/>
              <w:ind w:left="105"/>
            </w:pPr>
            <w:r>
              <w:t>Gray</w:t>
            </w:r>
          </w:p>
        </w:tc>
      </w:tr>
      <w:tr w:rsidR="0044529C">
        <w:trPr>
          <w:trHeight w:val="1389"/>
        </w:trPr>
        <w:tc>
          <w:tcPr>
            <w:tcW w:w="900" w:type="dxa"/>
          </w:tcPr>
          <w:p w:rsidR="0044529C" w:rsidRDefault="00050F7F">
            <w:pPr>
              <w:pStyle w:val="TableParagraph"/>
            </w:pPr>
            <w:r>
              <w:t>4:15</w:t>
            </w:r>
          </w:p>
        </w:tc>
        <w:tc>
          <w:tcPr>
            <w:tcW w:w="7471" w:type="dxa"/>
          </w:tcPr>
          <w:p w:rsidR="005F6FC6" w:rsidRDefault="004546B8" w:rsidP="005F6FC6">
            <w:pPr>
              <w:pStyle w:val="TableParagraph"/>
            </w:pPr>
            <w:r>
              <w:t>Announcements and Remarks</w:t>
            </w:r>
          </w:p>
          <w:p w:rsidR="0044529C" w:rsidRDefault="004546B8">
            <w:pPr>
              <w:pStyle w:val="TableParagraph"/>
              <w:numPr>
                <w:ilvl w:val="0"/>
                <w:numId w:val="5"/>
              </w:numPr>
              <w:tabs>
                <w:tab w:val="left" w:pos="827"/>
                <w:tab w:val="left" w:pos="828"/>
              </w:tabs>
              <w:spacing w:line="240" w:lineRule="auto"/>
            </w:pPr>
            <w:r>
              <w:t>Graduate Council Chair, Bethany</w:t>
            </w:r>
            <w:r>
              <w:rPr>
                <w:spacing w:val="1"/>
              </w:rPr>
              <w:t xml:space="preserve"> </w:t>
            </w:r>
            <w:r>
              <w:t>Gray</w:t>
            </w:r>
          </w:p>
          <w:p w:rsidR="00896293" w:rsidRDefault="00896293" w:rsidP="00896293">
            <w:pPr>
              <w:pStyle w:val="TableParagraph"/>
              <w:numPr>
                <w:ilvl w:val="1"/>
                <w:numId w:val="5"/>
              </w:numPr>
              <w:tabs>
                <w:tab w:val="left" w:pos="827"/>
                <w:tab w:val="left" w:pos="828"/>
              </w:tabs>
              <w:spacing w:line="240" w:lineRule="auto"/>
            </w:pPr>
            <w:r>
              <w:t>Thanked everyone for their service on the Council this year and gave an especially big thank you to outgoing members for serving three years.</w:t>
            </w:r>
          </w:p>
          <w:p w:rsidR="002E2BA3" w:rsidRDefault="002E2BA3" w:rsidP="002E2BA3">
            <w:pPr>
              <w:pStyle w:val="TableParagraph"/>
              <w:numPr>
                <w:ilvl w:val="0"/>
                <w:numId w:val="5"/>
              </w:numPr>
              <w:tabs>
                <w:tab w:val="left" w:pos="827"/>
                <w:tab w:val="left" w:pos="828"/>
              </w:tabs>
              <w:spacing w:before="1" w:line="279" w:lineRule="exact"/>
            </w:pPr>
            <w:r>
              <w:t>Graduate Dean, Bill</w:t>
            </w:r>
            <w:r>
              <w:rPr>
                <w:spacing w:val="-5"/>
              </w:rPr>
              <w:t xml:space="preserve"> </w:t>
            </w:r>
            <w:r>
              <w:t>Graves</w:t>
            </w:r>
            <w:r w:rsidR="00896293">
              <w:t xml:space="preserve"> - none</w:t>
            </w:r>
          </w:p>
          <w:p w:rsidR="004357B6" w:rsidRDefault="004546B8" w:rsidP="004357B6">
            <w:pPr>
              <w:pStyle w:val="TableParagraph"/>
              <w:numPr>
                <w:ilvl w:val="0"/>
                <w:numId w:val="5"/>
              </w:numPr>
              <w:tabs>
                <w:tab w:val="left" w:pos="828"/>
                <w:tab w:val="left" w:pos="829"/>
              </w:tabs>
              <w:spacing w:line="279" w:lineRule="exact"/>
              <w:ind w:left="828"/>
            </w:pPr>
            <w:r>
              <w:t>Associate Graduate Dean, Carolyn</w:t>
            </w:r>
            <w:r>
              <w:rPr>
                <w:spacing w:val="-7"/>
              </w:rPr>
              <w:t xml:space="preserve"> </w:t>
            </w:r>
            <w:r>
              <w:t>Cutrona</w:t>
            </w:r>
            <w:r w:rsidR="00896293">
              <w:t xml:space="preserve"> - none</w:t>
            </w:r>
          </w:p>
          <w:p w:rsidR="00EA29CC" w:rsidRDefault="00EA29CC" w:rsidP="004357B6">
            <w:pPr>
              <w:pStyle w:val="TableParagraph"/>
              <w:numPr>
                <w:ilvl w:val="0"/>
                <w:numId w:val="5"/>
              </w:numPr>
              <w:tabs>
                <w:tab w:val="left" w:pos="828"/>
                <w:tab w:val="left" w:pos="829"/>
              </w:tabs>
              <w:spacing w:line="279" w:lineRule="exact"/>
              <w:ind w:left="828"/>
            </w:pPr>
            <w:r>
              <w:t>Du</w:t>
            </w:r>
            <w:r w:rsidR="00D732B0">
              <w:t>al-listed course approvals in May for Fall 2021 effective terms, Natalie Robinson</w:t>
            </w:r>
          </w:p>
          <w:p w:rsidR="00896293" w:rsidRDefault="00896293" w:rsidP="00896293">
            <w:pPr>
              <w:pStyle w:val="TableParagraph"/>
              <w:numPr>
                <w:ilvl w:val="1"/>
                <w:numId w:val="5"/>
              </w:numPr>
              <w:tabs>
                <w:tab w:val="left" w:pos="828"/>
                <w:tab w:val="left" w:pos="829"/>
              </w:tabs>
              <w:spacing w:line="279" w:lineRule="exact"/>
            </w:pPr>
            <w:r>
              <w:t>Asked if the Council would be willing/able to approve a couple of dual-listed courses by consent if the GCCC reviews them in May. Council agreed to this</w:t>
            </w:r>
            <w:r w:rsidR="002536C7">
              <w:t xml:space="preserve"> online “vote” via consent</w:t>
            </w:r>
            <w:r>
              <w:t xml:space="preserve">. </w:t>
            </w:r>
          </w:p>
          <w:p w:rsidR="0021595B" w:rsidRDefault="0021595B" w:rsidP="00FF73C6">
            <w:pPr>
              <w:pStyle w:val="TableParagraph"/>
              <w:tabs>
                <w:tab w:val="left" w:pos="827"/>
                <w:tab w:val="left" w:pos="828"/>
              </w:tabs>
              <w:spacing w:line="261" w:lineRule="exact"/>
              <w:ind w:left="0"/>
            </w:pPr>
          </w:p>
        </w:tc>
        <w:tc>
          <w:tcPr>
            <w:tcW w:w="2340" w:type="dxa"/>
          </w:tcPr>
          <w:p w:rsidR="0044529C" w:rsidRDefault="00697908" w:rsidP="00FF73C6">
            <w:pPr>
              <w:pStyle w:val="TableParagraph"/>
              <w:spacing w:line="240" w:lineRule="auto"/>
              <w:ind w:left="105" w:right="239"/>
            </w:pPr>
            <w:r>
              <w:t>Gray, Graves, Cutrona</w:t>
            </w:r>
            <w:r w:rsidR="00D732B0">
              <w:t>, Robinson</w:t>
            </w:r>
          </w:p>
        </w:tc>
      </w:tr>
      <w:tr w:rsidR="0044529C" w:rsidTr="00FF73C6">
        <w:trPr>
          <w:trHeight w:val="1388"/>
        </w:trPr>
        <w:tc>
          <w:tcPr>
            <w:tcW w:w="900" w:type="dxa"/>
          </w:tcPr>
          <w:p w:rsidR="0044529C" w:rsidRDefault="00255A3F" w:rsidP="00255A3F">
            <w:pPr>
              <w:pStyle w:val="TableParagraph"/>
            </w:pPr>
            <w:r>
              <w:t>4:25</w:t>
            </w:r>
          </w:p>
        </w:tc>
        <w:tc>
          <w:tcPr>
            <w:tcW w:w="7471" w:type="dxa"/>
          </w:tcPr>
          <w:p w:rsidR="0044529C" w:rsidRDefault="004546B8">
            <w:pPr>
              <w:pStyle w:val="TableParagraph"/>
            </w:pPr>
            <w:r>
              <w:t>Consent Agenda</w:t>
            </w:r>
          </w:p>
          <w:p w:rsidR="00042052" w:rsidRPr="0069210E" w:rsidRDefault="00255A3F" w:rsidP="0069210E">
            <w:pPr>
              <w:pStyle w:val="TableParagraph"/>
              <w:numPr>
                <w:ilvl w:val="0"/>
                <w:numId w:val="3"/>
              </w:numPr>
            </w:pPr>
            <w:r w:rsidRPr="0069210E">
              <w:t xml:space="preserve">Agenda for </w:t>
            </w:r>
            <w:r w:rsidR="00D732B0">
              <w:t>April 21</w:t>
            </w:r>
            <w:r w:rsidRPr="0069210E">
              <w:t xml:space="preserve"> meeting</w:t>
            </w:r>
          </w:p>
          <w:p w:rsidR="00042052" w:rsidRPr="0069210E" w:rsidRDefault="00255A3F" w:rsidP="0069210E">
            <w:pPr>
              <w:pStyle w:val="TableParagraph"/>
              <w:numPr>
                <w:ilvl w:val="0"/>
                <w:numId w:val="3"/>
              </w:numPr>
            </w:pPr>
            <w:r w:rsidRPr="0069210E">
              <w:t>Items from GCCC:</w:t>
            </w:r>
          </w:p>
          <w:p w:rsidR="00855273" w:rsidRPr="007B1DED" w:rsidRDefault="002536C7" w:rsidP="0094002B">
            <w:pPr>
              <w:pStyle w:val="ListParagraph"/>
              <w:numPr>
                <w:ilvl w:val="1"/>
                <w:numId w:val="17"/>
              </w:numPr>
              <w:shd w:val="clear" w:color="auto" w:fill="FFFFFF"/>
              <w:textAlignment w:val="baseline"/>
              <w:rPr>
                <w:color w:val="000000"/>
              </w:rPr>
            </w:pPr>
            <w:hyperlink r:id="rId6" w:history="1">
              <w:r w:rsidR="007B1DED">
                <w:rPr>
                  <w:rStyle w:val="Hyperlink"/>
                  <w:rFonts w:ascii="Helvetica" w:hAnsi="Helvetica" w:cs="Helvetica"/>
                  <w:color w:val="800000"/>
                  <w:shd w:val="clear" w:color="auto" w:fill="FFFFFF"/>
                </w:rPr>
                <w:t>ARCH 436/ARCH 536X</w:t>
              </w:r>
            </w:hyperlink>
          </w:p>
          <w:p w:rsidR="007B1DED" w:rsidRPr="007B1DED" w:rsidRDefault="002536C7" w:rsidP="0094002B">
            <w:pPr>
              <w:pStyle w:val="ListParagraph"/>
              <w:numPr>
                <w:ilvl w:val="1"/>
                <w:numId w:val="17"/>
              </w:numPr>
              <w:shd w:val="clear" w:color="auto" w:fill="FFFFFF"/>
              <w:textAlignment w:val="baseline"/>
              <w:rPr>
                <w:color w:val="000000"/>
              </w:rPr>
            </w:pPr>
            <w:hyperlink r:id="rId7" w:history="1">
              <w:r w:rsidR="007B1DED">
                <w:rPr>
                  <w:rStyle w:val="Hyperlink"/>
                  <w:rFonts w:ascii="Helvetica" w:hAnsi="Helvetica" w:cs="Helvetica"/>
                  <w:color w:val="800000"/>
                  <w:shd w:val="clear" w:color="auto" w:fill="FFFFFF"/>
                </w:rPr>
                <w:t>ARCH 432/ARCH 532X</w:t>
              </w:r>
            </w:hyperlink>
          </w:p>
          <w:p w:rsidR="007B1DED" w:rsidRPr="007B1DED" w:rsidRDefault="002536C7" w:rsidP="0094002B">
            <w:pPr>
              <w:pStyle w:val="ListParagraph"/>
              <w:numPr>
                <w:ilvl w:val="1"/>
                <w:numId w:val="17"/>
              </w:numPr>
              <w:shd w:val="clear" w:color="auto" w:fill="FFFFFF"/>
              <w:textAlignment w:val="baseline"/>
              <w:rPr>
                <w:color w:val="000000"/>
              </w:rPr>
            </w:pPr>
            <w:hyperlink r:id="rId8" w:history="1">
              <w:r w:rsidR="007B1DED">
                <w:rPr>
                  <w:rStyle w:val="Hyperlink"/>
                  <w:rFonts w:ascii="Helvetica" w:hAnsi="Helvetica" w:cs="Helvetica"/>
                  <w:color w:val="CC0000"/>
                  <w:shd w:val="clear" w:color="auto" w:fill="FFFFFF"/>
                </w:rPr>
                <w:t>Master of Entrepreneurship</w:t>
              </w:r>
            </w:hyperlink>
          </w:p>
          <w:p w:rsidR="007B1DED" w:rsidRPr="00896293" w:rsidRDefault="002536C7" w:rsidP="00761EA9">
            <w:pPr>
              <w:pStyle w:val="ListParagraph"/>
              <w:numPr>
                <w:ilvl w:val="1"/>
                <w:numId w:val="17"/>
              </w:numPr>
              <w:shd w:val="clear" w:color="auto" w:fill="FFFFFF"/>
              <w:textAlignment w:val="baseline"/>
              <w:rPr>
                <w:color w:val="000000"/>
              </w:rPr>
            </w:pPr>
            <w:hyperlink r:id="rId9" w:history="1">
              <w:r w:rsidR="007B1DED">
                <w:rPr>
                  <w:rStyle w:val="Hyperlink"/>
                  <w:rFonts w:ascii="Helvetica" w:hAnsi="Helvetica" w:cs="Helvetica"/>
                  <w:color w:val="800000"/>
                  <w:shd w:val="clear" w:color="auto" w:fill="FFFFFF"/>
                </w:rPr>
                <w:t>Master of Community Development</w:t>
              </w:r>
            </w:hyperlink>
            <w:r w:rsidR="00B95BFE">
              <w:t xml:space="preserve"> </w:t>
            </w:r>
          </w:p>
          <w:p w:rsidR="00896293" w:rsidRPr="0096714F" w:rsidRDefault="00896293" w:rsidP="00896293">
            <w:pPr>
              <w:pStyle w:val="ListParagraph"/>
              <w:numPr>
                <w:ilvl w:val="2"/>
                <w:numId w:val="17"/>
              </w:numPr>
              <w:shd w:val="clear" w:color="auto" w:fill="FFFFFF"/>
              <w:textAlignment w:val="baseline"/>
              <w:rPr>
                <w:color w:val="000000"/>
              </w:rPr>
            </w:pPr>
            <w:r>
              <w:t>All in favor 11-0</w:t>
            </w:r>
          </w:p>
        </w:tc>
        <w:tc>
          <w:tcPr>
            <w:tcW w:w="2340" w:type="dxa"/>
          </w:tcPr>
          <w:p w:rsidR="0044529C" w:rsidRDefault="004546B8">
            <w:pPr>
              <w:pStyle w:val="TableParagraph"/>
              <w:ind w:left="105"/>
            </w:pPr>
            <w:r>
              <w:t>Gray</w:t>
            </w:r>
          </w:p>
        </w:tc>
      </w:tr>
      <w:tr w:rsidR="00FF73C6">
        <w:trPr>
          <w:trHeight w:val="1389"/>
        </w:trPr>
        <w:tc>
          <w:tcPr>
            <w:tcW w:w="900" w:type="dxa"/>
          </w:tcPr>
          <w:p w:rsidR="00FF73C6" w:rsidRDefault="00255A3F" w:rsidP="00D732B0">
            <w:pPr>
              <w:pStyle w:val="TableParagraph"/>
            </w:pPr>
            <w:r>
              <w:t>4:</w:t>
            </w:r>
            <w:r w:rsidR="00D732B0">
              <w:t>25</w:t>
            </w:r>
          </w:p>
        </w:tc>
        <w:tc>
          <w:tcPr>
            <w:tcW w:w="7471" w:type="dxa"/>
          </w:tcPr>
          <w:p w:rsidR="001541FB" w:rsidRDefault="00255A3F" w:rsidP="001541FB">
            <w:pPr>
              <w:pStyle w:val="TableParagraph"/>
            </w:pPr>
            <w:r>
              <w:t>Old</w:t>
            </w:r>
            <w:r w:rsidR="00FF73C6">
              <w:t xml:space="preserve"> Business</w:t>
            </w:r>
          </w:p>
          <w:p w:rsidR="002F74B7" w:rsidRDefault="002F74B7" w:rsidP="002F74B7">
            <w:pPr>
              <w:pStyle w:val="TableParagraph"/>
              <w:numPr>
                <w:ilvl w:val="0"/>
                <w:numId w:val="8"/>
              </w:numPr>
            </w:pPr>
            <w:r>
              <w:t xml:space="preserve">Certificate program </w:t>
            </w:r>
            <w:r w:rsidR="00697908">
              <w:t>policy update vote</w:t>
            </w:r>
            <w:r>
              <w:t xml:space="preserve"> (</w:t>
            </w:r>
            <w:r w:rsidR="00D732B0">
              <w:t xml:space="preserve">Michael </w:t>
            </w:r>
            <w:r>
              <w:t>Brown)</w:t>
            </w:r>
          </w:p>
          <w:p w:rsidR="00896293" w:rsidRDefault="00896293" w:rsidP="00896293">
            <w:pPr>
              <w:pStyle w:val="TableParagraph"/>
              <w:numPr>
                <w:ilvl w:val="1"/>
                <w:numId w:val="8"/>
              </w:numPr>
            </w:pPr>
            <w:r>
              <w:t>All in favor 10-0; policy will be effective Fall 2021</w:t>
            </w:r>
          </w:p>
          <w:p w:rsidR="00CB3A74" w:rsidRDefault="00CB3A74" w:rsidP="00896293">
            <w:pPr>
              <w:pStyle w:val="TableParagraph"/>
              <w:numPr>
                <w:ilvl w:val="1"/>
                <w:numId w:val="8"/>
              </w:numPr>
            </w:pPr>
            <w:hyperlink r:id="rId10" w:history="1">
              <w:r w:rsidRPr="00CB3A74">
                <w:rPr>
                  <w:rStyle w:val="Hyperlink"/>
                </w:rPr>
                <w:t>Appendix C revi</w:t>
              </w:r>
              <w:r w:rsidRPr="00CB3A74">
                <w:rPr>
                  <w:rStyle w:val="Hyperlink"/>
                </w:rPr>
                <w:t>s</w:t>
              </w:r>
              <w:r w:rsidRPr="00CB3A74">
                <w:rPr>
                  <w:rStyle w:val="Hyperlink"/>
                </w:rPr>
                <w:t>ions</w:t>
              </w:r>
            </w:hyperlink>
          </w:p>
          <w:p w:rsidR="002F74B7" w:rsidRDefault="002F74B7" w:rsidP="005F6FC6">
            <w:pPr>
              <w:pStyle w:val="TableParagraph"/>
              <w:numPr>
                <w:ilvl w:val="0"/>
                <w:numId w:val="8"/>
              </w:numPr>
            </w:pPr>
            <w:r>
              <w:t>Dissertation/thesis workgroup update (</w:t>
            </w:r>
            <w:r w:rsidR="00D732B0">
              <w:t xml:space="preserve">Lily </w:t>
            </w:r>
            <w:r>
              <w:t>Compton)</w:t>
            </w:r>
          </w:p>
          <w:p w:rsidR="00BF753A" w:rsidRDefault="00BF753A" w:rsidP="00BF753A">
            <w:pPr>
              <w:pStyle w:val="TableParagraph"/>
              <w:numPr>
                <w:ilvl w:val="1"/>
                <w:numId w:val="8"/>
              </w:numPr>
            </w:pPr>
            <w:r>
              <w:t>Compton outlined key concerns: students are not aware of dissertation/thesis resources, formatting requirements, and policies surrounding co-authored journal chapters.</w:t>
            </w:r>
          </w:p>
          <w:p w:rsidR="00BF753A" w:rsidRDefault="00BF753A" w:rsidP="00BF753A">
            <w:pPr>
              <w:pStyle w:val="TableParagraph"/>
              <w:numPr>
                <w:ilvl w:val="1"/>
                <w:numId w:val="8"/>
              </w:numPr>
            </w:pPr>
            <w:r>
              <w:t xml:space="preserve">This workgroup proposed a </w:t>
            </w:r>
            <w:hyperlink r:id="rId11" w:history="1">
              <w:r w:rsidRPr="000C51FA">
                <w:rPr>
                  <w:rStyle w:val="Hyperlink"/>
                </w:rPr>
                <w:t>survey</w:t>
              </w:r>
            </w:hyperlink>
            <w:r>
              <w:t xml:space="preserve"> to gather information</w:t>
            </w:r>
            <w:r w:rsidR="00B930DE">
              <w:t xml:space="preserve"> to help faculty and staf</w:t>
            </w:r>
            <w:r w:rsidR="002536C7">
              <w:t>f become</w:t>
            </w:r>
            <w:r w:rsidR="00B930DE">
              <w:t xml:space="preserve"> more aware of the thesis/dissertation website. The survey will also gather feedback about the third thesis </w:t>
            </w:r>
            <w:r w:rsidR="000C51FA">
              <w:t xml:space="preserve">option called the </w:t>
            </w:r>
            <w:hyperlink r:id="rId12" w:history="1">
              <w:r w:rsidR="000C51FA" w:rsidRPr="000C51FA">
                <w:rPr>
                  <w:rStyle w:val="Hyperlink"/>
                </w:rPr>
                <w:t>Narrative/Creative template</w:t>
              </w:r>
            </w:hyperlink>
            <w:r w:rsidR="000C51FA">
              <w:t>. Information about the</w:t>
            </w:r>
            <w:hyperlink r:id="rId13" w:history="1">
              <w:r w:rsidR="000C51FA" w:rsidRPr="000C51FA">
                <w:rPr>
                  <w:rStyle w:val="Hyperlink"/>
                </w:rPr>
                <w:t xml:space="preserve"> shared consent form</w:t>
              </w:r>
            </w:hyperlink>
            <w:r w:rsidR="000C51FA">
              <w:t xml:space="preserve"> will also be included. </w:t>
            </w:r>
          </w:p>
          <w:p w:rsidR="000C51FA" w:rsidRDefault="000C51FA" w:rsidP="00BF753A">
            <w:pPr>
              <w:pStyle w:val="TableParagraph"/>
              <w:numPr>
                <w:ilvl w:val="1"/>
                <w:numId w:val="8"/>
              </w:numPr>
            </w:pPr>
            <w:r>
              <w:t xml:space="preserve">They will identify focus groups to gather other concerns. </w:t>
            </w:r>
            <w:r w:rsidR="00E95040">
              <w:t>They will invite DOGEs, all graduate faculty, gradu</w:t>
            </w:r>
            <w:r w:rsidR="002536C7">
              <w:t>ate students, and recent alumni to participate.</w:t>
            </w:r>
          </w:p>
          <w:p w:rsidR="00E95040" w:rsidRDefault="00E95040" w:rsidP="00BF753A">
            <w:pPr>
              <w:pStyle w:val="TableParagraph"/>
              <w:numPr>
                <w:ilvl w:val="1"/>
                <w:numId w:val="8"/>
              </w:numPr>
            </w:pPr>
            <w:r>
              <w:t xml:space="preserve">Haddad asked if the shared consent form will ask co-authors </w:t>
            </w:r>
            <w:r>
              <w:lastRenderedPageBreak/>
              <w:t xml:space="preserve">specifics about who completed what portion of the work. Compton responded that it’s not a detailed </w:t>
            </w:r>
            <w:r w:rsidR="00BA7CCD">
              <w:t xml:space="preserve">description. </w:t>
            </w:r>
          </w:p>
          <w:p w:rsidR="00BA7CCD" w:rsidRDefault="00BA7CCD" w:rsidP="00BF753A">
            <w:pPr>
              <w:pStyle w:val="TableParagraph"/>
              <w:numPr>
                <w:ilvl w:val="1"/>
                <w:numId w:val="8"/>
              </w:numPr>
            </w:pPr>
            <w:r>
              <w:t>Lonergan stated that evaluation of outcomes should be with the program of study, so was glad to see that the agreement form is only required if the same chapter is included in both dissertations/theses.</w:t>
            </w:r>
          </w:p>
          <w:p w:rsidR="00BA7CCD" w:rsidRDefault="00BA7CCD" w:rsidP="00BF753A">
            <w:pPr>
              <w:pStyle w:val="TableParagraph"/>
              <w:numPr>
                <w:ilvl w:val="1"/>
                <w:numId w:val="8"/>
              </w:numPr>
            </w:pPr>
            <w:r>
              <w:t>Gray wondered why consent is only sought if the chapter is going in both dissertations.</w:t>
            </w:r>
          </w:p>
          <w:p w:rsidR="002E2BA3" w:rsidRDefault="002F74B7" w:rsidP="00697908">
            <w:pPr>
              <w:pStyle w:val="TableParagraph"/>
              <w:numPr>
                <w:ilvl w:val="0"/>
                <w:numId w:val="8"/>
              </w:numPr>
            </w:pPr>
            <w:r>
              <w:t xml:space="preserve">Recruitment workgroup </w:t>
            </w:r>
            <w:r w:rsidR="00697908">
              <w:t>survey update</w:t>
            </w:r>
            <w:r>
              <w:t xml:space="preserve"> (Gray)</w:t>
            </w:r>
          </w:p>
          <w:p w:rsidR="00BA7CCD" w:rsidRDefault="002536C7" w:rsidP="00BA7CCD">
            <w:pPr>
              <w:pStyle w:val="TableParagraph"/>
              <w:numPr>
                <w:ilvl w:val="1"/>
                <w:numId w:val="8"/>
              </w:numPr>
            </w:pPr>
            <w:r>
              <w:t>Survey requesting f</w:t>
            </w:r>
            <w:r w:rsidR="00E278E3">
              <w:t>eedback on current recruitment strategies and needed resources</w:t>
            </w:r>
            <w:r>
              <w:t xml:space="preserve"> went out.</w:t>
            </w:r>
          </w:p>
          <w:p w:rsidR="006027DF" w:rsidRPr="002E2BA3" w:rsidRDefault="006027DF" w:rsidP="00BA7CCD">
            <w:pPr>
              <w:pStyle w:val="TableParagraph"/>
              <w:numPr>
                <w:ilvl w:val="1"/>
                <w:numId w:val="8"/>
              </w:numPr>
            </w:pPr>
            <w:r>
              <w:t>Haddad stated that the survey will be closed at the end of the week; out of our 144 DOGES, 44 have responded. 25 of the 88 graduate support staff have responded.</w:t>
            </w:r>
          </w:p>
          <w:p w:rsidR="001541FB" w:rsidRPr="00255A3F" w:rsidRDefault="001541FB" w:rsidP="002F74B7">
            <w:pPr>
              <w:pStyle w:val="TableParagraph"/>
              <w:ind w:left="827"/>
            </w:pPr>
          </w:p>
        </w:tc>
        <w:tc>
          <w:tcPr>
            <w:tcW w:w="2340" w:type="dxa"/>
          </w:tcPr>
          <w:p w:rsidR="00FF73C6" w:rsidRDefault="00B33322">
            <w:pPr>
              <w:pStyle w:val="TableParagraph"/>
              <w:ind w:left="105"/>
            </w:pPr>
            <w:r>
              <w:lastRenderedPageBreak/>
              <w:t>Gray</w:t>
            </w:r>
            <w:r w:rsidR="009D429A">
              <w:t>, Brown, Compton</w:t>
            </w:r>
            <w:r w:rsidR="002F74B7">
              <w:t>, Youngberg</w:t>
            </w:r>
          </w:p>
        </w:tc>
      </w:tr>
      <w:tr w:rsidR="004357B6">
        <w:trPr>
          <w:trHeight w:val="1389"/>
        </w:trPr>
        <w:tc>
          <w:tcPr>
            <w:tcW w:w="900" w:type="dxa"/>
          </w:tcPr>
          <w:p w:rsidR="004357B6" w:rsidRDefault="00D732B0" w:rsidP="004357B6">
            <w:pPr>
              <w:pStyle w:val="TableParagraph"/>
              <w:ind w:left="0"/>
            </w:pPr>
            <w:r>
              <w:t xml:space="preserve"> 4:40</w:t>
            </w:r>
          </w:p>
        </w:tc>
        <w:tc>
          <w:tcPr>
            <w:tcW w:w="7471" w:type="dxa"/>
          </w:tcPr>
          <w:p w:rsidR="004357B6" w:rsidRPr="00761EA9" w:rsidRDefault="004357B6">
            <w:pPr>
              <w:pStyle w:val="TableParagraph"/>
            </w:pPr>
            <w:r w:rsidRPr="00761EA9">
              <w:t>New Business</w:t>
            </w:r>
          </w:p>
          <w:p w:rsidR="006027DF" w:rsidRPr="006027DF" w:rsidRDefault="006027DF" w:rsidP="006027DF">
            <w:pPr>
              <w:widowControl/>
              <w:numPr>
                <w:ilvl w:val="0"/>
                <w:numId w:val="19"/>
              </w:numPr>
              <w:shd w:val="clear" w:color="auto" w:fill="FFFFFF"/>
              <w:autoSpaceDE/>
              <w:autoSpaceDN/>
              <w:rPr>
                <w:rFonts w:ascii="Times New Roman" w:eastAsia="Times New Roman" w:hAnsi="Times New Roman" w:cs="Times New Roman"/>
                <w:color w:val="000000"/>
              </w:rPr>
            </w:pPr>
            <w:r w:rsidRPr="00761EA9">
              <w:rPr>
                <w:rFonts w:eastAsia="Times New Roman"/>
                <w:color w:val="000000"/>
                <w:bdr w:val="none" w:sz="0" w:space="0" w:color="auto" w:frame="1"/>
                <w:shd w:val="clear" w:color="auto" w:fill="FFFFFF"/>
              </w:rPr>
              <w:t>Hourly work for graduate students (Gray)</w:t>
            </w:r>
          </w:p>
          <w:p w:rsidR="006027DF" w:rsidRPr="00757A99" w:rsidRDefault="006027DF" w:rsidP="006027DF">
            <w:pPr>
              <w:widowControl/>
              <w:numPr>
                <w:ilvl w:val="1"/>
                <w:numId w:val="19"/>
              </w:numPr>
              <w:shd w:val="clear" w:color="auto" w:fill="FFFFFF"/>
              <w:autoSpaceDE/>
              <w:autoSpaceDN/>
              <w:rPr>
                <w:rFonts w:ascii="Times New Roman" w:eastAsia="Times New Roman" w:hAnsi="Times New Roman" w:cs="Times New Roman"/>
                <w:color w:val="000000"/>
              </w:rPr>
            </w:pPr>
            <w:r>
              <w:rPr>
                <w:rFonts w:eastAsia="Times New Roman"/>
                <w:color w:val="000000"/>
                <w:bdr w:val="none" w:sz="0" w:space="0" w:color="auto" w:frame="1"/>
                <w:shd w:val="clear" w:color="auto" w:fill="FFFFFF"/>
              </w:rPr>
              <w:t xml:space="preserve">Gray started this conversation last fall and researched policies at peer institutions using publicly-available information. There is not much written that explicitly </w:t>
            </w:r>
            <w:r w:rsidR="00757A99">
              <w:rPr>
                <w:rFonts w:eastAsia="Times New Roman"/>
                <w:color w:val="000000"/>
                <w:bdr w:val="none" w:sz="0" w:space="0" w:color="auto" w:frame="1"/>
                <w:shd w:val="clear" w:color="auto" w:fill="FFFFFF"/>
              </w:rPr>
              <w:t xml:space="preserve">discusses hourly work, but some universities link to university job boards, implying that hourly work is allowed. Some universities indicate that hourly work is allowed, but only if the student is not on assistantship. </w:t>
            </w:r>
          </w:p>
          <w:p w:rsidR="00757A99" w:rsidRPr="00761EA9" w:rsidRDefault="00757A99" w:rsidP="006027DF">
            <w:pPr>
              <w:widowControl/>
              <w:numPr>
                <w:ilvl w:val="1"/>
                <w:numId w:val="19"/>
              </w:numPr>
              <w:shd w:val="clear" w:color="auto" w:fill="FFFFFF"/>
              <w:autoSpaceDE/>
              <w:autoSpaceDN/>
              <w:rPr>
                <w:rFonts w:ascii="Times New Roman" w:eastAsia="Times New Roman" w:hAnsi="Times New Roman" w:cs="Times New Roman"/>
                <w:color w:val="000000"/>
              </w:rPr>
            </w:pPr>
            <w:r>
              <w:rPr>
                <w:rFonts w:eastAsia="Times New Roman"/>
                <w:color w:val="000000"/>
                <w:bdr w:val="none" w:sz="0" w:space="0" w:color="auto" w:frame="1"/>
                <w:shd w:val="clear" w:color="auto" w:fill="FFFFFF"/>
              </w:rPr>
              <w:t xml:space="preserve">Will work on draft of policy </w:t>
            </w:r>
            <w:r w:rsidR="002536C7">
              <w:rPr>
                <w:rFonts w:eastAsia="Times New Roman"/>
                <w:color w:val="000000"/>
                <w:bdr w:val="none" w:sz="0" w:space="0" w:color="auto" w:frame="1"/>
                <w:shd w:val="clear" w:color="auto" w:fill="FFFFFF"/>
              </w:rPr>
              <w:t xml:space="preserve">for next year’s Council </w:t>
            </w:r>
            <w:r>
              <w:rPr>
                <w:rFonts w:eastAsia="Times New Roman"/>
                <w:color w:val="000000"/>
                <w:bdr w:val="none" w:sz="0" w:space="0" w:color="auto" w:frame="1"/>
                <w:shd w:val="clear" w:color="auto" w:fill="FFFFFF"/>
              </w:rPr>
              <w:t>with vetting from Bill, Carolyn, and other stakeholders.</w:t>
            </w:r>
          </w:p>
          <w:p w:rsidR="00757A99" w:rsidRPr="00757A99" w:rsidRDefault="00757A99" w:rsidP="00757A99">
            <w:pPr>
              <w:widowControl/>
              <w:numPr>
                <w:ilvl w:val="0"/>
                <w:numId w:val="19"/>
              </w:numPr>
              <w:shd w:val="clear" w:color="auto" w:fill="FFFFFF"/>
              <w:autoSpaceDE/>
              <w:autoSpaceDN/>
              <w:rPr>
                <w:rFonts w:ascii="Times New Roman" w:eastAsia="Times New Roman" w:hAnsi="Times New Roman" w:cs="Times New Roman"/>
                <w:color w:val="000000"/>
              </w:rPr>
            </w:pPr>
            <w:r w:rsidRPr="00761EA9">
              <w:rPr>
                <w:rFonts w:eastAsia="Times New Roman"/>
                <w:color w:val="201F1E"/>
                <w:bdr w:val="none" w:sz="0" w:space="0" w:color="auto" w:frame="1"/>
                <w:shd w:val="clear" w:color="auto" w:fill="FFFFFF"/>
              </w:rPr>
              <w:t>Faculty membership updates (Brown)</w:t>
            </w:r>
            <w:r w:rsidRPr="00761EA9">
              <w:rPr>
                <w:rFonts w:eastAsia="Times New Roman"/>
                <w:color w:val="000000"/>
                <w:bdr w:val="none" w:sz="0" w:space="0" w:color="auto" w:frame="1"/>
                <w:shd w:val="clear" w:color="auto" w:fill="FFFFFF"/>
              </w:rPr>
              <w:t> </w:t>
            </w:r>
          </w:p>
          <w:p w:rsidR="00757A99" w:rsidRPr="00757A99" w:rsidRDefault="00757A99" w:rsidP="00757A99">
            <w:pPr>
              <w:widowControl/>
              <w:numPr>
                <w:ilvl w:val="1"/>
                <w:numId w:val="19"/>
              </w:numPr>
              <w:shd w:val="clear" w:color="auto" w:fill="FFFFFF"/>
              <w:autoSpaceDE/>
              <w:autoSpaceDN/>
              <w:rPr>
                <w:rFonts w:ascii="Times New Roman" w:eastAsia="Times New Roman" w:hAnsi="Times New Roman" w:cs="Times New Roman"/>
                <w:color w:val="000000"/>
              </w:rPr>
            </w:pPr>
            <w:r>
              <w:rPr>
                <w:rFonts w:eastAsia="Times New Roman"/>
                <w:color w:val="000000"/>
                <w:bdr w:val="none" w:sz="0" w:space="0" w:color="auto" w:frame="1"/>
                <w:shd w:val="clear" w:color="auto" w:fill="FFFFFF"/>
              </w:rPr>
              <w:t>A couple of folks slate</w:t>
            </w:r>
            <w:r w:rsidR="000E04BE">
              <w:rPr>
                <w:rFonts w:eastAsia="Times New Roman"/>
                <w:color w:val="000000"/>
                <w:bdr w:val="none" w:sz="0" w:space="0" w:color="auto" w:frame="1"/>
                <w:shd w:val="clear" w:color="auto" w:fill="FFFFFF"/>
              </w:rPr>
              <w:t xml:space="preserve">d to teach courses in the </w:t>
            </w:r>
            <w:proofErr w:type="spellStart"/>
            <w:r w:rsidR="000E04BE">
              <w:rPr>
                <w:rFonts w:eastAsia="Times New Roman"/>
                <w:color w:val="000000"/>
                <w:bdr w:val="none" w:sz="0" w:space="0" w:color="auto" w:frame="1"/>
                <w:shd w:val="clear" w:color="auto" w:fill="FFFFFF"/>
              </w:rPr>
              <w:t>Ed.D</w:t>
            </w:r>
            <w:proofErr w:type="spellEnd"/>
            <w:r w:rsidR="000E04BE">
              <w:rPr>
                <w:rFonts w:eastAsia="Times New Roman"/>
                <w:color w:val="000000"/>
                <w:bdr w:val="none" w:sz="0" w:space="0" w:color="auto" w:frame="1"/>
                <w:shd w:val="clear" w:color="auto" w:fill="FFFFFF"/>
              </w:rPr>
              <w:t xml:space="preserve">. </w:t>
            </w:r>
            <w:proofErr w:type="gramStart"/>
            <w:r>
              <w:rPr>
                <w:rFonts w:eastAsia="Times New Roman"/>
                <w:color w:val="000000"/>
                <w:bdr w:val="none" w:sz="0" w:space="0" w:color="auto" w:frame="1"/>
                <w:shd w:val="clear" w:color="auto" w:fill="FFFFFF"/>
              </w:rPr>
              <w:t>program</w:t>
            </w:r>
            <w:proofErr w:type="gramEnd"/>
            <w:r>
              <w:rPr>
                <w:rFonts w:eastAsia="Times New Roman"/>
                <w:color w:val="000000"/>
                <w:bdr w:val="none" w:sz="0" w:space="0" w:color="auto" w:frame="1"/>
                <w:shd w:val="clear" w:color="auto" w:fill="FFFFFF"/>
              </w:rPr>
              <w:t xml:space="preserve"> were not advanced to graduate faculty membership. </w:t>
            </w:r>
          </w:p>
          <w:p w:rsidR="00757A99" w:rsidRPr="000E04BE" w:rsidRDefault="000E04BE" w:rsidP="00757A99">
            <w:pPr>
              <w:widowControl/>
              <w:numPr>
                <w:ilvl w:val="1"/>
                <w:numId w:val="19"/>
              </w:numPr>
              <w:shd w:val="clear" w:color="auto" w:fill="FFFFFF"/>
              <w:autoSpaceDE/>
              <w:autoSpaceDN/>
              <w:rPr>
                <w:rFonts w:ascii="Times New Roman" w:eastAsia="Times New Roman" w:hAnsi="Times New Roman" w:cs="Times New Roman"/>
                <w:color w:val="000000"/>
              </w:rPr>
            </w:pPr>
            <w:r>
              <w:rPr>
                <w:rFonts w:eastAsia="Times New Roman"/>
                <w:color w:val="000000"/>
                <w:bdr w:val="none" w:sz="0" w:space="0" w:color="auto" w:frame="1"/>
                <w:shd w:val="clear" w:color="auto" w:fill="FFFFFF"/>
              </w:rPr>
              <w:t xml:space="preserve">An </w:t>
            </w:r>
            <w:proofErr w:type="spellStart"/>
            <w:r>
              <w:rPr>
                <w:rFonts w:eastAsia="Times New Roman"/>
                <w:color w:val="000000"/>
                <w:bdr w:val="none" w:sz="0" w:space="0" w:color="auto" w:frame="1"/>
                <w:shd w:val="clear" w:color="auto" w:fill="FFFFFF"/>
              </w:rPr>
              <w:t>Ed.D</w:t>
            </w:r>
            <w:proofErr w:type="spellEnd"/>
            <w:r>
              <w:rPr>
                <w:rFonts w:eastAsia="Times New Roman"/>
                <w:color w:val="000000"/>
                <w:bdr w:val="none" w:sz="0" w:space="0" w:color="auto" w:frame="1"/>
                <w:shd w:val="clear" w:color="auto" w:fill="FFFFFF"/>
              </w:rPr>
              <w:t xml:space="preserve">. </w:t>
            </w:r>
            <w:proofErr w:type="gramStart"/>
            <w:r>
              <w:rPr>
                <w:rFonts w:eastAsia="Times New Roman"/>
                <w:color w:val="000000"/>
                <w:bdr w:val="none" w:sz="0" w:space="0" w:color="auto" w:frame="1"/>
                <w:shd w:val="clear" w:color="auto" w:fill="FFFFFF"/>
              </w:rPr>
              <w:t>is</w:t>
            </w:r>
            <w:proofErr w:type="gramEnd"/>
            <w:r>
              <w:rPr>
                <w:rFonts w:eastAsia="Times New Roman"/>
                <w:color w:val="000000"/>
                <w:bdr w:val="none" w:sz="0" w:space="0" w:color="auto" w:frame="1"/>
                <w:shd w:val="clear" w:color="auto" w:fill="FFFFFF"/>
              </w:rPr>
              <w:t xml:space="preserve"> a practice-oriented</w:t>
            </w:r>
            <w:r w:rsidR="002536C7">
              <w:rPr>
                <w:rFonts w:eastAsia="Times New Roman"/>
                <w:color w:val="000000"/>
                <w:bdr w:val="none" w:sz="0" w:space="0" w:color="auto" w:frame="1"/>
                <w:shd w:val="clear" w:color="auto" w:fill="FFFFFF"/>
              </w:rPr>
              <w:t xml:space="preserve"> degree</w:t>
            </w:r>
            <w:r>
              <w:rPr>
                <w:rFonts w:eastAsia="Times New Roman"/>
                <w:color w:val="000000"/>
                <w:bdr w:val="none" w:sz="0" w:space="0" w:color="auto" w:frame="1"/>
                <w:shd w:val="clear" w:color="auto" w:fill="FFFFFF"/>
              </w:rPr>
              <w:t>, so the committee would like a clarification of expectations</w:t>
            </w:r>
            <w:r w:rsidR="002536C7">
              <w:rPr>
                <w:rFonts w:eastAsia="Times New Roman"/>
                <w:color w:val="000000"/>
                <w:bdr w:val="none" w:sz="0" w:space="0" w:color="auto" w:frame="1"/>
                <w:shd w:val="clear" w:color="auto" w:fill="FFFFFF"/>
              </w:rPr>
              <w:t xml:space="preserve"> for graduate faculty</w:t>
            </w:r>
            <w:r>
              <w:rPr>
                <w:rFonts w:eastAsia="Times New Roman"/>
                <w:color w:val="000000"/>
                <w:bdr w:val="none" w:sz="0" w:space="0" w:color="auto" w:frame="1"/>
                <w:shd w:val="clear" w:color="auto" w:fill="FFFFFF"/>
              </w:rPr>
              <w:t xml:space="preserve">. </w:t>
            </w:r>
          </w:p>
          <w:p w:rsidR="000E04BE" w:rsidRPr="00761EA9" w:rsidRDefault="000E04BE" w:rsidP="00757A99">
            <w:pPr>
              <w:widowControl/>
              <w:numPr>
                <w:ilvl w:val="1"/>
                <w:numId w:val="19"/>
              </w:numPr>
              <w:shd w:val="clear" w:color="auto" w:fill="FFFFFF"/>
              <w:autoSpaceDE/>
              <w:autoSpaceDN/>
              <w:rPr>
                <w:rFonts w:ascii="Times New Roman" w:eastAsia="Times New Roman" w:hAnsi="Times New Roman" w:cs="Times New Roman"/>
                <w:color w:val="000000"/>
              </w:rPr>
            </w:pPr>
            <w:r>
              <w:rPr>
                <w:rFonts w:eastAsia="Times New Roman"/>
                <w:color w:val="000000"/>
                <w:bdr w:val="none" w:sz="0" w:space="0" w:color="auto" w:frame="1"/>
                <w:shd w:val="clear" w:color="auto" w:fill="FFFFFF"/>
              </w:rPr>
              <w:t xml:space="preserve">Adams, the current Chair of the GFMC, stated that faculty need to have a proposed POS to serve on or a specific course to teach, typically, to be approved for membership. He offered to talk with Brown and others from SOE offline to clarify what is required of graduate faculty and referenced Appendix G of the Graduate College Handbook if they seek clarification. </w:t>
            </w:r>
          </w:p>
          <w:p w:rsidR="00697908" w:rsidRPr="000E04BE" w:rsidRDefault="00697908" w:rsidP="00697908">
            <w:pPr>
              <w:widowControl/>
              <w:numPr>
                <w:ilvl w:val="0"/>
                <w:numId w:val="19"/>
              </w:numPr>
              <w:shd w:val="clear" w:color="auto" w:fill="FFFFFF"/>
              <w:autoSpaceDE/>
              <w:autoSpaceDN/>
              <w:rPr>
                <w:rFonts w:ascii="Times New Roman" w:eastAsia="Times New Roman" w:hAnsi="Times New Roman" w:cs="Times New Roman"/>
                <w:color w:val="000000"/>
              </w:rPr>
            </w:pPr>
            <w:r w:rsidRPr="00761EA9">
              <w:rPr>
                <w:rFonts w:eastAsia="Times New Roman"/>
                <w:color w:val="201F1E"/>
                <w:bdr w:val="none" w:sz="0" w:space="0" w:color="auto" w:frame="1"/>
                <w:shd w:val="clear" w:color="auto" w:fill="FFFFFF"/>
              </w:rPr>
              <w:t xml:space="preserve">Credit limit increases requests (Graves, </w:t>
            </w:r>
            <w:r w:rsidR="00B95BFE" w:rsidRPr="00761EA9">
              <w:rPr>
                <w:rFonts w:eastAsia="Times New Roman"/>
                <w:color w:val="201F1E"/>
                <w:bdr w:val="none" w:sz="0" w:space="0" w:color="auto" w:frame="1"/>
                <w:shd w:val="clear" w:color="auto" w:fill="FFFFFF"/>
              </w:rPr>
              <w:t xml:space="preserve">Samantha </w:t>
            </w:r>
            <w:r w:rsidRPr="00761EA9">
              <w:rPr>
                <w:rFonts w:eastAsia="Times New Roman"/>
                <w:color w:val="201F1E"/>
                <w:bdr w:val="none" w:sz="0" w:space="0" w:color="auto" w:frame="1"/>
                <w:shd w:val="clear" w:color="auto" w:fill="FFFFFF"/>
              </w:rPr>
              <w:t xml:space="preserve">Hirschman, </w:t>
            </w:r>
            <w:r w:rsidR="00B95BFE" w:rsidRPr="00761EA9">
              <w:rPr>
                <w:rFonts w:eastAsia="Times New Roman"/>
                <w:color w:val="201F1E"/>
                <w:bdr w:val="none" w:sz="0" w:space="0" w:color="auto" w:frame="1"/>
                <w:shd w:val="clear" w:color="auto" w:fill="FFFFFF"/>
              </w:rPr>
              <w:t xml:space="preserve">Doug </w:t>
            </w:r>
            <w:r w:rsidRPr="00761EA9">
              <w:rPr>
                <w:rFonts w:eastAsia="Times New Roman"/>
                <w:color w:val="201F1E"/>
                <w:bdr w:val="none" w:sz="0" w:space="0" w:color="auto" w:frame="1"/>
                <w:shd w:val="clear" w:color="auto" w:fill="FFFFFF"/>
              </w:rPr>
              <w:t xml:space="preserve">Spencer, </w:t>
            </w:r>
            <w:r w:rsidR="00B95BFE" w:rsidRPr="00761EA9">
              <w:rPr>
                <w:rFonts w:eastAsia="Times New Roman"/>
                <w:color w:val="201F1E"/>
                <w:bdr w:val="none" w:sz="0" w:space="0" w:color="auto" w:frame="1"/>
                <w:shd w:val="clear" w:color="auto" w:fill="FFFFFF"/>
              </w:rPr>
              <w:t xml:space="preserve">Valentina </w:t>
            </w:r>
            <w:proofErr w:type="spellStart"/>
            <w:r w:rsidRPr="00761EA9">
              <w:rPr>
                <w:rFonts w:eastAsia="Times New Roman"/>
                <w:color w:val="201F1E"/>
                <w:bdr w:val="none" w:sz="0" w:space="0" w:color="auto" w:frame="1"/>
                <w:shd w:val="clear" w:color="auto" w:fill="FFFFFF"/>
              </w:rPr>
              <w:t>Salotti</w:t>
            </w:r>
            <w:proofErr w:type="spellEnd"/>
            <w:r w:rsidRPr="00761EA9">
              <w:rPr>
                <w:rFonts w:eastAsia="Times New Roman"/>
                <w:color w:val="201F1E"/>
                <w:bdr w:val="none" w:sz="0" w:space="0" w:color="auto" w:frame="1"/>
                <w:shd w:val="clear" w:color="auto" w:fill="FFFFFF"/>
              </w:rPr>
              <w:t xml:space="preserve">) </w:t>
            </w:r>
          </w:p>
          <w:p w:rsidR="000E04BE" w:rsidRDefault="000E04BE" w:rsidP="000E04BE">
            <w:pPr>
              <w:widowControl/>
              <w:numPr>
                <w:ilvl w:val="2"/>
                <w:numId w:val="19"/>
              </w:numPr>
              <w:shd w:val="clear" w:color="auto" w:fill="FFFFFF"/>
              <w:autoSpaceDE/>
              <w:autoSpaceDN/>
              <w:rPr>
                <w:rFonts w:ascii="Times New Roman" w:eastAsia="Times New Roman" w:hAnsi="Times New Roman" w:cs="Times New Roman"/>
                <w:color w:val="000000"/>
              </w:rPr>
            </w:pPr>
            <w:r>
              <w:rPr>
                <w:rFonts w:eastAsia="Times New Roman"/>
                <w:color w:val="201F1E"/>
                <w:bdr w:val="none" w:sz="0" w:space="0" w:color="auto" w:frame="1"/>
                <w:shd w:val="clear" w:color="auto" w:fill="FFFFFF"/>
              </w:rPr>
              <w:t>Graves discussed how Ch.2.1.6 of the Graduate College Handbook is a longstanding policy written because it is not in the best interest of a student to take over a certain number of credits</w:t>
            </w:r>
            <w:r w:rsidR="002536C7">
              <w:rPr>
                <w:rFonts w:eastAsia="Times New Roman"/>
                <w:color w:val="201F1E"/>
                <w:bdr w:val="none" w:sz="0" w:space="0" w:color="auto" w:frame="1"/>
                <w:shd w:val="clear" w:color="auto" w:fill="FFFFFF"/>
              </w:rPr>
              <w:t xml:space="preserve"> per semester. A similar credit-</w:t>
            </w:r>
            <w:r>
              <w:rPr>
                <w:rFonts w:eastAsia="Times New Roman"/>
                <w:color w:val="201F1E"/>
                <w:bdr w:val="none" w:sz="0" w:space="0" w:color="auto" w:frame="1"/>
                <w:shd w:val="clear" w:color="auto" w:fill="FFFFFF"/>
              </w:rPr>
              <w:t xml:space="preserve">limit rule exists at the undergraduate level. </w:t>
            </w:r>
          </w:p>
          <w:p w:rsidR="002423D4" w:rsidRPr="00AB1499" w:rsidRDefault="000E04BE" w:rsidP="002423D4">
            <w:pPr>
              <w:widowControl/>
              <w:numPr>
                <w:ilvl w:val="2"/>
                <w:numId w:val="19"/>
              </w:numPr>
              <w:shd w:val="clear" w:color="auto" w:fill="FFFFFF"/>
              <w:autoSpaceDE/>
              <w:autoSpaceDN/>
              <w:rPr>
                <w:rFonts w:asciiTheme="minorHAnsi" w:eastAsia="Times New Roman" w:hAnsiTheme="minorHAnsi" w:cstheme="minorHAnsi"/>
                <w:color w:val="000000"/>
              </w:rPr>
            </w:pPr>
            <w:r w:rsidRPr="00AB1499">
              <w:rPr>
                <w:rFonts w:asciiTheme="minorHAnsi" w:eastAsia="Times New Roman" w:hAnsiTheme="minorHAnsi" w:cstheme="minorHAnsi"/>
                <w:color w:val="000000"/>
              </w:rPr>
              <w:t xml:space="preserve">Graves explained that over the past few years, the policy has been implemented very flexibly, but the Graduate College is working to adhere to policy as written by requiring “exceptional circumstances” for students wishing to register </w:t>
            </w:r>
            <w:r w:rsidR="002423D4" w:rsidRPr="00AB1499">
              <w:rPr>
                <w:rFonts w:asciiTheme="minorHAnsi" w:eastAsia="Times New Roman" w:hAnsiTheme="minorHAnsi" w:cstheme="minorHAnsi"/>
                <w:color w:val="000000"/>
              </w:rPr>
              <w:t xml:space="preserve">for more credits than is allowed by policy. </w:t>
            </w:r>
          </w:p>
          <w:p w:rsidR="002423D4" w:rsidRPr="00AB1499" w:rsidRDefault="002423D4" w:rsidP="002423D4">
            <w:pPr>
              <w:widowControl/>
              <w:numPr>
                <w:ilvl w:val="2"/>
                <w:numId w:val="19"/>
              </w:numPr>
              <w:shd w:val="clear" w:color="auto" w:fill="FFFFFF"/>
              <w:autoSpaceDE/>
              <w:autoSpaceDN/>
              <w:rPr>
                <w:rFonts w:asciiTheme="minorHAnsi" w:eastAsia="Times New Roman" w:hAnsiTheme="minorHAnsi" w:cstheme="minorHAnsi"/>
                <w:color w:val="000000"/>
              </w:rPr>
            </w:pPr>
            <w:r w:rsidRPr="00AB1499">
              <w:rPr>
                <w:rFonts w:asciiTheme="minorHAnsi" w:eastAsia="Times New Roman" w:hAnsiTheme="minorHAnsi" w:cstheme="minorHAnsi"/>
                <w:color w:val="000000"/>
              </w:rPr>
              <w:t xml:space="preserve">The Council can draft and recommend a policy change, but Council needs to weigh in for the Graduate College to make changes to our procedures. </w:t>
            </w:r>
          </w:p>
          <w:p w:rsidR="002423D4" w:rsidRDefault="002423D4" w:rsidP="002423D4">
            <w:pPr>
              <w:widowControl/>
              <w:numPr>
                <w:ilvl w:val="2"/>
                <w:numId w:val="19"/>
              </w:numPr>
              <w:shd w:val="clear" w:color="auto" w:fill="FFFFFF"/>
              <w:autoSpaceDE/>
              <w:autoSpaceDN/>
              <w:rPr>
                <w:rFonts w:asciiTheme="minorHAnsi" w:eastAsia="Times New Roman" w:hAnsiTheme="minorHAnsi" w:cstheme="minorHAnsi"/>
                <w:color w:val="000000"/>
              </w:rPr>
            </w:pPr>
            <w:r w:rsidRPr="00AB1499">
              <w:rPr>
                <w:rFonts w:asciiTheme="minorHAnsi" w:eastAsia="Times New Roman" w:hAnsiTheme="minorHAnsi" w:cstheme="minorHAnsi"/>
                <w:color w:val="000000"/>
              </w:rPr>
              <w:t xml:space="preserve">Hirschman discussed the creation of a request form this spring semester to streamline requests. She also emphasized that the maximum number of </w:t>
            </w:r>
            <w:r w:rsidR="00AB1499" w:rsidRPr="00AB1499">
              <w:rPr>
                <w:rFonts w:asciiTheme="minorHAnsi" w:eastAsia="Times New Roman" w:hAnsiTheme="minorHAnsi" w:cstheme="minorHAnsi"/>
                <w:color w:val="000000"/>
              </w:rPr>
              <w:t xml:space="preserve">credits allowed </w:t>
            </w:r>
            <w:r w:rsidR="00AB1499" w:rsidRPr="00AB1499">
              <w:rPr>
                <w:rFonts w:asciiTheme="minorHAnsi" w:eastAsia="Times New Roman" w:hAnsiTheme="minorHAnsi" w:cstheme="minorHAnsi"/>
                <w:color w:val="000000"/>
              </w:rPr>
              <w:lastRenderedPageBreak/>
              <w:t xml:space="preserve">is in line with tuition assessment. When a student takes credits in excess of full time, this allows students to take additional credits without paying additional tuition. </w:t>
            </w:r>
          </w:p>
          <w:p w:rsidR="009D31DE" w:rsidRDefault="009D31DE" w:rsidP="002423D4">
            <w:pPr>
              <w:widowControl/>
              <w:numPr>
                <w:ilvl w:val="2"/>
                <w:numId w:val="19"/>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If Council recommends a policy change, will take it to PLAC for input.</w:t>
            </w:r>
          </w:p>
          <w:p w:rsidR="004A0EC5" w:rsidRDefault="009D31DE" w:rsidP="002423D4">
            <w:pPr>
              <w:widowControl/>
              <w:numPr>
                <w:ilvl w:val="2"/>
                <w:numId w:val="19"/>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Spencer, Associate Dean of</w:t>
            </w:r>
            <w:r w:rsidR="004A0EC5">
              <w:rPr>
                <w:rFonts w:asciiTheme="minorHAnsi" w:eastAsia="Times New Roman" w:hAnsiTheme="minorHAnsi" w:cstheme="minorHAnsi"/>
                <w:color w:val="000000"/>
              </w:rPr>
              <w:t xml:space="preserve"> the College of Design and DOGE of architecture is asking for the Handbook to be amended to remove the requirement that exceptional circumstances are required for students requesting to take more than the allowable credits. </w:t>
            </w:r>
          </w:p>
          <w:p w:rsidR="004A0EC5" w:rsidRDefault="004A0EC5" w:rsidP="002423D4">
            <w:pPr>
              <w:widowControl/>
              <w:numPr>
                <w:ilvl w:val="2"/>
                <w:numId w:val="19"/>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He explained that it has been customary for DOGEs to request increased credits without exceptional circumstances and that tho</w:t>
            </w:r>
            <w:r w:rsidR="009B03AE">
              <w:rPr>
                <w:rFonts w:asciiTheme="minorHAnsi" w:eastAsia="Times New Roman" w:hAnsiTheme="minorHAnsi" w:cstheme="minorHAnsi"/>
                <w:color w:val="000000"/>
              </w:rPr>
              <w:t>se requests have been approved</w:t>
            </w:r>
            <w:r w:rsidR="002536C7">
              <w:rPr>
                <w:rFonts w:asciiTheme="minorHAnsi" w:eastAsia="Times New Roman" w:hAnsiTheme="minorHAnsi" w:cstheme="minorHAnsi"/>
                <w:color w:val="000000"/>
              </w:rPr>
              <w:t xml:space="preserve">. He suggested that </w:t>
            </w:r>
            <w:r w:rsidR="009B03AE">
              <w:rPr>
                <w:rFonts w:asciiTheme="minorHAnsi" w:eastAsia="Times New Roman" w:hAnsiTheme="minorHAnsi" w:cstheme="minorHAnsi"/>
                <w:color w:val="000000"/>
              </w:rPr>
              <w:t>DOGEs should be able to exercise their judgement regarding how many credits their students can handle per semester.</w:t>
            </w:r>
          </w:p>
          <w:p w:rsidR="009B03AE" w:rsidRDefault="004A0EC5" w:rsidP="002423D4">
            <w:pPr>
              <w:widowControl/>
              <w:numPr>
                <w:ilvl w:val="2"/>
                <w:numId w:val="19"/>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 xml:space="preserve">ARCH students typically take 16 credits per semester, as it is a 100-credit program, and allowing more than 15 credits is essential for the College of Design to continue offering their double degree programs and </w:t>
            </w:r>
            <w:r w:rsidR="002536C7">
              <w:rPr>
                <w:rFonts w:asciiTheme="minorHAnsi" w:eastAsia="Times New Roman" w:hAnsiTheme="minorHAnsi" w:cstheme="minorHAnsi"/>
                <w:color w:val="000000"/>
              </w:rPr>
              <w:t xml:space="preserve">allow their students to </w:t>
            </w:r>
            <w:r>
              <w:rPr>
                <w:rFonts w:asciiTheme="minorHAnsi" w:eastAsia="Times New Roman" w:hAnsiTheme="minorHAnsi" w:cstheme="minorHAnsi"/>
                <w:color w:val="000000"/>
              </w:rPr>
              <w:t>take electives, independent studies, etc. that are critical for the education they receive.</w:t>
            </w:r>
            <w:r w:rsidR="009B03AE">
              <w:rPr>
                <w:rFonts w:asciiTheme="minorHAnsi" w:eastAsia="Times New Roman" w:hAnsiTheme="minorHAnsi" w:cstheme="minorHAnsi"/>
                <w:color w:val="000000"/>
              </w:rPr>
              <w:t xml:space="preserve"> Offering double degree programs is key to marketing, recruitment, and retention in </w:t>
            </w:r>
            <w:r w:rsidR="002536C7">
              <w:rPr>
                <w:rFonts w:asciiTheme="minorHAnsi" w:eastAsia="Times New Roman" w:hAnsiTheme="minorHAnsi" w:cstheme="minorHAnsi"/>
                <w:color w:val="000000"/>
              </w:rPr>
              <w:t xml:space="preserve">the College of Design </w:t>
            </w:r>
            <w:r w:rsidR="009B03AE">
              <w:rPr>
                <w:rFonts w:asciiTheme="minorHAnsi" w:eastAsia="Times New Roman" w:hAnsiTheme="minorHAnsi" w:cstheme="minorHAnsi"/>
                <w:color w:val="000000"/>
              </w:rPr>
              <w:t xml:space="preserve">graduate programs. </w:t>
            </w:r>
          </w:p>
          <w:p w:rsidR="00D340D9" w:rsidRDefault="009B03AE" w:rsidP="002423D4">
            <w:pPr>
              <w:widowControl/>
              <w:numPr>
                <w:ilvl w:val="2"/>
                <w:numId w:val="19"/>
              </w:numPr>
              <w:shd w:val="clear" w:color="auto" w:fill="FFFFFF"/>
              <w:autoSpaceDE/>
              <w:autoSpaceDN/>
              <w:rPr>
                <w:rFonts w:asciiTheme="minorHAnsi" w:eastAsia="Times New Roman" w:hAnsiTheme="minorHAnsi" w:cstheme="minorHAnsi"/>
                <w:color w:val="000000"/>
              </w:rPr>
            </w:pPr>
            <w:proofErr w:type="spellStart"/>
            <w:r>
              <w:rPr>
                <w:rFonts w:asciiTheme="minorHAnsi" w:eastAsia="Times New Roman" w:hAnsiTheme="minorHAnsi" w:cstheme="minorHAnsi"/>
                <w:color w:val="000000"/>
              </w:rPr>
              <w:t>Salotti</w:t>
            </w:r>
            <w:proofErr w:type="spellEnd"/>
            <w:r w:rsidR="00D340D9">
              <w:rPr>
                <w:rFonts w:asciiTheme="minorHAnsi" w:eastAsia="Times New Roman" w:hAnsiTheme="minorHAnsi" w:cstheme="minorHAnsi"/>
                <w:color w:val="000000"/>
              </w:rPr>
              <w:t xml:space="preserve"> discussed how the concurrent undergraduate/MBA program requires students to take more than 15 credits several semesters, sometimes even up to 21 credits during certain terms. She stated that in undergraduate, they do not need permission to take more than 15 credits. </w:t>
            </w:r>
          </w:p>
          <w:p w:rsidR="009D4AD6" w:rsidRDefault="00D340D9" w:rsidP="002423D4">
            <w:pPr>
              <w:widowControl/>
              <w:numPr>
                <w:ilvl w:val="2"/>
                <w:numId w:val="19"/>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Gray asked for clarity about whether credit limits app</w:t>
            </w:r>
            <w:r w:rsidR="009D4AD6">
              <w:rPr>
                <w:rFonts w:asciiTheme="minorHAnsi" w:eastAsia="Times New Roman" w:hAnsiTheme="minorHAnsi" w:cstheme="minorHAnsi"/>
                <w:color w:val="000000"/>
              </w:rPr>
              <w:t xml:space="preserve">ly to concurrent BS/MS programs. Hirschman answered that the default limit is 15 for all graduate students and that there is no automatic process that restricts credit limits depending upon assistantship appointment. </w:t>
            </w:r>
          </w:p>
          <w:p w:rsidR="009D31DE" w:rsidRDefault="009D4AD6" w:rsidP="002423D4">
            <w:pPr>
              <w:widowControl/>
              <w:numPr>
                <w:ilvl w:val="2"/>
                <w:numId w:val="19"/>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Students in both the College of Design and College of Business have been on assistantship and requested more than 15 credits per semester.</w:t>
            </w:r>
          </w:p>
          <w:p w:rsidR="009D4AD6" w:rsidRPr="00AB1499" w:rsidRDefault="002536C7" w:rsidP="002423D4">
            <w:pPr>
              <w:widowControl/>
              <w:numPr>
                <w:ilvl w:val="2"/>
                <w:numId w:val="19"/>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Stakeholders</w:t>
            </w:r>
            <w:r w:rsidR="009D4AD6">
              <w:rPr>
                <w:rFonts w:asciiTheme="minorHAnsi" w:eastAsia="Times New Roman" w:hAnsiTheme="minorHAnsi" w:cstheme="minorHAnsi"/>
                <w:color w:val="000000"/>
              </w:rPr>
              <w:t xml:space="preserve"> asked for suggestions about policy changes from Council next fall.</w:t>
            </w:r>
          </w:p>
          <w:p w:rsidR="00697908" w:rsidRPr="009D4AD6" w:rsidRDefault="007B1DED" w:rsidP="00757A99">
            <w:pPr>
              <w:widowControl/>
              <w:numPr>
                <w:ilvl w:val="0"/>
                <w:numId w:val="19"/>
              </w:numPr>
              <w:shd w:val="clear" w:color="auto" w:fill="FFFFFF"/>
              <w:autoSpaceDE/>
              <w:autoSpaceDN/>
              <w:rPr>
                <w:rFonts w:ascii="Times New Roman" w:eastAsia="Times New Roman" w:hAnsi="Times New Roman" w:cs="Times New Roman"/>
                <w:color w:val="000000"/>
              </w:rPr>
            </w:pPr>
            <w:r w:rsidRPr="00761EA9">
              <w:rPr>
                <w:rFonts w:eastAsia="Times New Roman"/>
                <w:color w:val="000000"/>
                <w:bdr w:val="none" w:sz="0" w:space="0" w:color="auto" w:frame="1"/>
              </w:rPr>
              <w:t>Remote defense (Graves, Robinson)</w:t>
            </w:r>
          </w:p>
          <w:p w:rsidR="009D4AD6" w:rsidRPr="009D4AD6" w:rsidRDefault="009D4AD6" w:rsidP="009D4AD6">
            <w:pPr>
              <w:widowControl/>
              <w:numPr>
                <w:ilvl w:val="1"/>
                <w:numId w:val="19"/>
              </w:numPr>
              <w:shd w:val="clear" w:color="auto" w:fill="FFFFFF"/>
              <w:autoSpaceDE/>
              <w:autoSpaceDN/>
              <w:rPr>
                <w:rFonts w:ascii="Times New Roman" w:eastAsia="Times New Roman" w:hAnsi="Times New Roman" w:cs="Times New Roman"/>
                <w:color w:val="000000"/>
              </w:rPr>
            </w:pPr>
            <w:r>
              <w:rPr>
                <w:rFonts w:eastAsia="Times New Roman"/>
                <w:color w:val="000000"/>
                <w:bdr w:val="none" w:sz="0" w:space="0" w:color="auto" w:frame="1"/>
              </w:rPr>
              <w:t>Graves discussed how fully-remote final and preliminary oral exams have been permitted during COVID w</w:t>
            </w:r>
            <w:r w:rsidR="002536C7">
              <w:rPr>
                <w:rFonts w:eastAsia="Times New Roman"/>
                <w:color w:val="000000"/>
                <w:bdr w:val="none" w:sz="0" w:space="0" w:color="auto" w:frame="1"/>
              </w:rPr>
              <w:t>ithout permission to take place</w:t>
            </w:r>
            <w:r>
              <w:rPr>
                <w:rFonts w:eastAsia="Times New Roman"/>
                <w:color w:val="000000"/>
                <w:bdr w:val="none" w:sz="0" w:space="0" w:color="auto" w:frame="1"/>
              </w:rPr>
              <w:t xml:space="preserve"> remotely, but that the policy about remote partici</w:t>
            </w:r>
            <w:r w:rsidR="002536C7">
              <w:rPr>
                <w:rFonts w:eastAsia="Times New Roman"/>
                <w:color w:val="000000"/>
                <w:bdr w:val="none" w:sz="0" w:space="0" w:color="auto" w:frame="1"/>
              </w:rPr>
              <w:t>pation in exams has not changed in the Handbook.</w:t>
            </w:r>
            <w:r>
              <w:rPr>
                <w:rFonts w:eastAsia="Times New Roman"/>
                <w:color w:val="000000"/>
                <w:bdr w:val="none" w:sz="0" w:space="0" w:color="auto" w:frame="1"/>
              </w:rPr>
              <w:t xml:space="preserve"> While the Council recommended extending this e</w:t>
            </w:r>
            <w:r w:rsidR="002536C7">
              <w:rPr>
                <w:rFonts w:eastAsia="Times New Roman"/>
                <w:color w:val="000000"/>
                <w:bdr w:val="none" w:sz="0" w:space="0" w:color="auto" w:frame="1"/>
              </w:rPr>
              <w:t>mergency accommodation through s</w:t>
            </w:r>
            <w:bookmarkStart w:id="3" w:name="_GoBack"/>
            <w:bookmarkEnd w:id="3"/>
            <w:r>
              <w:rPr>
                <w:rFonts w:eastAsia="Times New Roman"/>
                <w:color w:val="000000"/>
                <w:bdr w:val="none" w:sz="0" w:space="0" w:color="auto" w:frame="1"/>
              </w:rPr>
              <w:t xml:space="preserve">pring 2022, the general expectation this fall is that we will be back on campus, offering courses in person, etc., so it is important to determine how we’ll move forward with remote exams after the pandemic is over. </w:t>
            </w:r>
          </w:p>
          <w:p w:rsidR="009D4AD6" w:rsidRPr="009D4AD6" w:rsidRDefault="009D4AD6" w:rsidP="009D4AD6">
            <w:pPr>
              <w:widowControl/>
              <w:numPr>
                <w:ilvl w:val="1"/>
                <w:numId w:val="19"/>
              </w:numPr>
              <w:shd w:val="clear" w:color="auto" w:fill="FFFFFF"/>
              <w:autoSpaceDE/>
              <w:autoSpaceDN/>
              <w:rPr>
                <w:rFonts w:ascii="Times New Roman" w:eastAsia="Times New Roman" w:hAnsi="Times New Roman" w:cs="Times New Roman"/>
                <w:color w:val="000000"/>
              </w:rPr>
            </w:pPr>
            <w:r>
              <w:rPr>
                <w:rFonts w:eastAsia="Times New Roman"/>
                <w:color w:val="000000"/>
                <w:bdr w:val="none" w:sz="0" w:space="0" w:color="auto" w:frame="1"/>
              </w:rPr>
              <w:t>Robinson mentioned the University of Iowa survey and data collection from March 2020-March 2021 that is helping them determine how they will move forward with remote defenses.</w:t>
            </w:r>
          </w:p>
          <w:p w:rsidR="009D4AD6" w:rsidRPr="009D4AD6" w:rsidRDefault="009D4AD6" w:rsidP="009D4AD6">
            <w:pPr>
              <w:widowControl/>
              <w:numPr>
                <w:ilvl w:val="1"/>
                <w:numId w:val="19"/>
              </w:numPr>
              <w:shd w:val="clear" w:color="auto" w:fill="FFFFFF"/>
              <w:autoSpaceDE/>
              <w:autoSpaceDN/>
              <w:rPr>
                <w:rFonts w:ascii="Times New Roman" w:eastAsia="Times New Roman" w:hAnsi="Times New Roman" w:cs="Times New Roman"/>
                <w:color w:val="000000"/>
              </w:rPr>
            </w:pPr>
            <w:r>
              <w:rPr>
                <w:rFonts w:eastAsia="Times New Roman"/>
                <w:color w:val="000000"/>
                <w:bdr w:val="none" w:sz="0" w:space="0" w:color="auto" w:frame="1"/>
              </w:rPr>
              <w:lastRenderedPageBreak/>
              <w:t>The Council suggested a simple survey to the graduate faculty asking them for feedback</w:t>
            </w:r>
            <w:r w:rsidRPr="009D4AD6">
              <w:rPr>
                <w:rFonts w:eastAsia="Times New Roman"/>
                <w:color w:val="000000"/>
                <w:bdr w:val="none" w:sz="0" w:space="0" w:color="auto" w:frame="1"/>
              </w:rPr>
              <w:t xml:space="preserve"> </w:t>
            </w:r>
            <w:r>
              <w:rPr>
                <w:rFonts w:eastAsia="Times New Roman"/>
                <w:color w:val="000000"/>
                <w:bdr w:val="none" w:sz="0" w:space="0" w:color="auto" w:frame="1"/>
              </w:rPr>
              <w:t xml:space="preserve">about the benefits and drawbacks of remote defenses from the past year. </w:t>
            </w:r>
          </w:p>
          <w:p w:rsidR="00B95BFE" w:rsidRPr="009D4AD6" w:rsidRDefault="00682D30" w:rsidP="00682D30">
            <w:pPr>
              <w:widowControl/>
              <w:numPr>
                <w:ilvl w:val="0"/>
                <w:numId w:val="19"/>
              </w:numPr>
              <w:shd w:val="clear" w:color="auto" w:fill="FFFFFF"/>
              <w:autoSpaceDE/>
              <w:autoSpaceDN/>
              <w:rPr>
                <w:rFonts w:ascii="Times New Roman" w:eastAsia="Times New Roman" w:hAnsi="Times New Roman" w:cs="Times New Roman"/>
                <w:color w:val="000000"/>
              </w:rPr>
            </w:pPr>
            <w:r w:rsidRPr="00761EA9">
              <w:rPr>
                <w:rFonts w:eastAsia="Times New Roman"/>
                <w:color w:val="000000"/>
                <w:bdr w:val="none" w:sz="0" w:space="0" w:color="auto" w:frame="1"/>
              </w:rPr>
              <w:t xml:space="preserve">Vice Chair </w:t>
            </w:r>
            <w:r w:rsidR="00822BE2" w:rsidRPr="00761EA9">
              <w:rPr>
                <w:rFonts w:eastAsia="Times New Roman"/>
                <w:color w:val="000000"/>
                <w:bdr w:val="none" w:sz="0" w:space="0" w:color="auto" w:frame="1"/>
              </w:rPr>
              <w:t xml:space="preserve">and PLAC member </w:t>
            </w:r>
            <w:r w:rsidRPr="00761EA9">
              <w:rPr>
                <w:rFonts w:eastAsia="Times New Roman"/>
                <w:color w:val="000000"/>
                <w:bdr w:val="none" w:sz="0" w:space="0" w:color="auto" w:frame="1"/>
              </w:rPr>
              <w:t>election</w:t>
            </w:r>
            <w:r w:rsidR="00822BE2" w:rsidRPr="00761EA9">
              <w:rPr>
                <w:rFonts w:eastAsia="Times New Roman"/>
                <w:color w:val="000000"/>
                <w:bdr w:val="none" w:sz="0" w:space="0" w:color="auto" w:frame="1"/>
              </w:rPr>
              <w:t>; Vice Chair will</w:t>
            </w:r>
            <w:r w:rsidR="00EA29CC" w:rsidRPr="00761EA9">
              <w:rPr>
                <w:rFonts w:eastAsia="Times New Roman"/>
                <w:color w:val="000000"/>
                <w:bdr w:val="none" w:sz="0" w:space="0" w:color="auto" w:frame="1"/>
              </w:rPr>
              <w:t xml:space="preserve"> also serve as GFMC Chair</w:t>
            </w:r>
            <w:r w:rsidR="00761EA9">
              <w:rPr>
                <w:rFonts w:eastAsia="Times New Roman"/>
                <w:color w:val="000000"/>
                <w:bdr w:val="none" w:sz="0" w:space="0" w:color="auto" w:frame="1"/>
              </w:rPr>
              <w:t xml:space="preserve"> and Chair of GC in 2022-2023</w:t>
            </w:r>
          </w:p>
          <w:p w:rsidR="009D4AD6" w:rsidRPr="00761EA9" w:rsidRDefault="009D4AD6" w:rsidP="009D4AD6">
            <w:pPr>
              <w:widowControl/>
              <w:numPr>
                <w:ilvl w:val="1"/>
                <w:numId w:val="19"/>
              </w:numPr>
              <w:shd w:val="clear" w:color="auto" w:fill="FFFFFF"/>
              <w:autoSpaceDE/>
              <w:autoSpaceDN/>
              <w:rPr>
                <w:rFonts w:ascii="Times New Roman" w:eastAsia="Times New Roman" w:hAnsi="Times New Roman" w:cs="Times New Roman"/>
                <w:color w:val="000000"/>
              </w:rPr>
            </w:pPr>
            <w:r>
              <w:rPr>
                <w:rFonts w:eastAsia="Times New Roman"/>
                <w:color w:val="000000"/>
                <w:bdr w:val="none" w:sz="0" w:space="0" w:color="auto" w:frame="1"/>
              </w:rPr>
              <w:t>Lonergan nominated Sarah Ryan for Vice Chair, but she was not present to accept/decline nomination; Robinson will follow up with Council about this vacancy.</w:t>
            </w:r>
          </w:p>
          <w:p w:rsidR="00682D30" w:rsidRPr="00761EA9" w:rsidRDefault="00682D30" w:rsidP="00682D30">
            <w:pPr>
              <w:widowControl/>
              <w:numPr>
                <w:ilvl w:val="0"/>
                <w:numId w:val="19"/>
              </w:numPr>
              <w:shd w:val="clear" w:color="auto" w:fill="FFFFFF"/>
              <w:autoSpaceDE/>
              <w:autoSpaceDN/>
              <w:rPr>
                <w:rFonts w:ascii="Times New Roman" w:eastAsia="Times New Roman" w:hAnsi="Times New Roman" w:cs="Times New Roman"/>
                <w:color w:val="000000"/>
              </w:rPr>
            </w:pPr>
            <w:r w:rsidRPr="00761EA9">
              <w:rPr>
                <w:rFonts w:eastAsia="Times New Roman"/>
                <w:color w:val="000000"/>
                <w:bdr w:val="none" w:sz="0" w:space="0" w:color="auto" w:frame="1"/>
              </w:rPr>
              <w:t xml:space="preserve">Dean Adams becomes Chair </w:t>
            </w:r>
            <w:r w:rsidR="00EA29CC" w:rsidRPr="00761EA9">
              <w:rPr>
                <w:rFonts w:eastAsia="Times New Roman"/>
                <w:color w:val="000000"/>
                <w:bdr w:val="none" w:sz="0" w:space="0" w:color="auto" w:frame="1"/>
              </w:rPr>
              <w:t xml:space="preserve">of GC </w:t>
            </w:r>
            <w:r w:rsidRPr="00761EA9">
              <w:rPr>
                <w:rFonts w:eastAsia="Times New Roman"/>
                <w:color w:val="000000"/>
                <w:bdr w:val="none" w:sz="0" w:space="0" w:color="auto" w:frame="1"/>
              </w:rPr>
              <w:t>for 2021-2022 academic year</w:t>
            </w:r>
            <w:r w:rsidR="00044AE8" w:rsidRPr="00761EA9">
              <w:rPr>
                <w:rFonts w:eastAsia="Times New Roman"/>
                <w:color w:val="000000"/>
                <w:bdr w:val="none" w:sz="0" w:space="0" w:color="auto" w:frame="1"/>
              </w:rPr>
              <w:t>!</w:t>
            </w:r>
          </w:p>
          <w:p w:rsidR="005F6FC6" w:rsidRPr="00761EA9" w:rsidRDefault="005F6FC6" w:rsidP="009D429A">
            <w:pPr>
              <w:pStyle w:val="xxxmsonormal"/>
              <w:shd w:val="clear" w:color="auto" w:fill="FFFFFF"/>
              <w:spacing w:before="0" w:beforeAutospacing="0" w:after="0" w:afterAutospacing="0"/>
              <w:textAlignment w:val="baseline"/>
              <w:rPr>
                <w:sz w:val="22"/>
                <w:szCs w:val="22"/>
              </w:rPr>
            </w:pPr>
          </w:p>
        </w:tc>
        <w:tc>
          <w:tcPr>
            <w:tcW w:w="2340" w:type="dxa"/>
          </w:tcPr>
          <w:p w:rsidR="004357B6" w:rsidRDefault="00B930DE">
            <w:pPr>
              <w:pStyle w:val="TableParagraph"/>
              <w:ind w:left="105"/>
            </w:pPr>
            <w:r>
              <w:lastRenderedPageBreak/>
              <w:t xml:space="preserve">Gray, Graves, Spencer, </w:t>
            </w:r>
            <w:proofErr w:type="spellStart"/>
            <w:r>
              <w:t>Salotti</w:t>
            </w:r>
            <w:proofErr w:type="spellEnd"/>
            <w:r>
              <w:t>,</w:t>
            </w:r>
            <w:r w:rsidR="00697908">
              <w:t xml:space="preserve"> Compton, Brown, Robinson</w:t>
            </w:r>
          </w:p>
        </w:tc>
      </w:tr>
      <w:tr w:rsidR="00DE306E">
        <w:trPr>
          <w:trHeight w:val="1377"/>
        </w:trPr>
        <w:tc>
          <w:tcPr>
            <w:tcW w:w="900" w:type="dxa"/>
          </w:tcPr>
          <w:p w:rsidR="00DE306E" w:rsidRDefault="00DE306E" w:rsidP="00DE306E">
            <w:pPr>
              <w:pStyle w:val="TableParagraph"/>
            </w:pPr>
            <w:r>
              <w:lastRenderedPageBreak/>
              <w:t>5:25</w:t>
            </w:r>
          </w:p>
        </w:tc>
        <w:tc>
          <w:tcPr>
            <w:tcW w:w="7471" w:type="dxa"/>
          </w:tcPr>
          <w:p w:rsidR="00DE306E" w:rsidRDefault="00DE306E" w:rsidP="00DE306E">
            <w:pPr>
              <w:pStyle w:val="TableParagraph"/>
              <w:spacing w:before="1" w:line="240" w:lineRule="auto"/>
            </w:pPr>
            <w:r>
              <w:t>Other Items/Issues</w:t>
            </w:r>
          </w:p>
        </w:tc>
        <w:tc>
          <w:tcPr>
            <w:tcW w:w="2340" w:type="dxa"/>
          </w:tcPr>
          <w:p w:rsidR="00DE306E" w:rsidRDefault="00DE306E" w:rsidP="00DE306E">
            <w:pPr>
              <w:pStyle w:val="TableParagraph"/>
              <w:ind w:left="105"/>
            </w:pPr>
            <w:r>
              <w:t>All</w:t>
            </w:r>
          </w:p>
          <w:p w:rsidR="00DE306E" w:rsidRDefault="00DE306E" w:rsidP="00DE306E">
            <w:pPr>
              <w:pStyle w:val="TableParagraph"/>
              <w:spacing w:line="240" w:lineRule="auto"/>
              <w:ind w:left="105" w:right="319"/>
            </w:pPr>
          </w:p>
        </w:tc>
      </w:tr>
    </w:tbl>
    <w:p w:rsidR="00B16F81" w:rsidRDefault="00B16F81"/>
    <w:tbl>
      <w:tblPr>
        <w:tblpPr w:leftFromText="180" w:rightFromText="180" w:vertAnchor="text" w:tblpY="-59"/>
        <w:tblW w:w="9686" w:type="dxa"/>
        <w:tblLook w:val="04A0" w:firstRow="1" w:lastRow="0" w:firstColumn="1" w:lastColumn="0" w:noHBand="0" w:noVBand="1"/>
      </w:tblPr>
      <w:tblGrid>
        <w:gridCol w:w="1081"/>
        <w:gridCol w:w="1645"/>
        <w:gridCol w:w="2891"/>
        <w:gridCol w:w="572"/>
        <w:gridCol w:w="684"/>
        <w:gridCol w:w="571"/>
        <w:gridCol w:w="584"/>
        <w:gridCol w:w="516"/>
        <w:gridCol w:w="596"/>
        <w:gridCol w:w="546"/>
      </w:tblGrid>
      <w:tr w:rsidR="00FD77A5" w:rsidTr="003332FD">
        <w:trPr>
          <w:trHeight w:val="300"/>
        </w:trPr>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7A5" w:rsidRDefault="00FD77A5" w:rsidP="003332FD">
            <w:pPr>
              <w:rPr>
                <w:b/>
                <w:bCs/>
                <w:color w:val="000000"/>
                <w:sz w:val="20"/>
              </w:rPr>
            </w:pPr>
            <w:r>
              <w:rPr>
                <w:b/>
                <w:bCs/>
                <w:color w:val="000000"/>
                <w:sz w:val="20"/>
              </w:rPr>
              <w:lastRenderedPageBreak/>
              <w:t>First Name</w:t>
            </w:r>
          </w:p>
        </w:tc>
        <w:tc>
          <w:tcPr>
            <w:tcW w:w="1645" w:type="dxa"/>
            <w:tcBorders>
              <w:top w:val="single" w:sz="4" w:space="0" w:color="auto"/>
              <w:left w:val="nil"/>
              <w:bottom w:val="single" w:sz="4" w:space="0" w:color="auto"/>
              <w:right w:val="single" w:sz="4" w:space="0" w:color="auto"/>
            </w:tcBorders>
            <w:shd w:val="clear" w:color="auto" w:fill="FFFFFF"/>
            <w:vAlign w:val="center"/>
            <w:hideMark/>
          </w:tcPr>
          <w:p w:rsidR="00FD77A5" w:rsidRDefault="00FD77A5" w:rsidP="003332FD">
            <w:pPr>
              <w:rPr>
                <w:b/>
                <w:bCs/>
                <w:color w:val="000000"/>
                <w:sz w:val="20"/>
              </w:rPr>
            </w:pPr>
            <w:r>
              <w:rPr>
                <w:b/>
                <w:bCs/>
                <w:color w:val="000000"/>
                <w:sz w:val="20"/>
              </w:rPr>
              <w:t>Last Name</w:t>
            </w:r>
          </w:p>
        </w:tc>
        <w:tc>
          <w:tcPr>
            <w:tcW w:w="2891" w:type="dxa"/>
            <w:tcBorders>
              <w:top w:val="single" w:sz="4" w:space="0" w:color="auto"/>
              <w:left w:val="nil"/>
              <w:bottom w:val="single" w:sz="4" w:space="0" w:color="auto"/>
              <w:right w:val="single" w:sz="4" w:space="0" w:color="auto"/>
            </w:tcBorders>
            <w:shd w:val="clear" w:color="auto" w:fill="FFFFFF"/>
            <w:vAlign w:val="center"/>
            <w:hideMark/>
          </w:tcPr>
          <w:p w:rsidR="00FD77A5" w:rsidRDefault="00FD77A5" w:rsidP="003332FD">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bottom"/>
            <w:hideMark/>
          </w:tcPr>
          <w:p w:rsidR="00FD77A5" w:rsidRDefault="00FD77A5" w:rsidP="003332FD">
            <w:pP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bottom"/>
            <w:hideMark/>
          </w:tcPr>
          <w:p w:rsidR="00FD77A5" w:rsidRDefault="00FD77A5" w:rsidP="003332FD">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bottom"/>
            <w:hideMark/>
          </w:tcPr>
          <w:p w:rsidR="00FD77A5" w:rsidRDefault="00FD77A5" w:rsidP="003332FD">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bottom"/>
            <w:hideMark/>
          </w:tcPr>
          <w:p w:rsidR="00FD77A5" w:rsidRDefault="00FD77A5" w:rsidP="003332FD">
            <w:pPr>
              <w:jc w:val="center"/>
              <w:rPr>
                <w:b/>
                <w:bCs/>
                <w:color w:val="000000"/>
              </w:rPr>
            </w:pPr>
            <w:r>
              <w:rPr>
                <w:b/>
                <w:bCs/>
                <w:color w:val="000000"/>
              </w:rPr>
              <w:t>Dec</w:t>
            </w:r>
          </w:p>
        </w:tc>
        <w:tc>
          <w:tcPr>
            <w:tcW w:w="516" w:type="dxa"/>
            <w:tcBorders>
              <w:top w:val="single" w:sz="4" w:space="0" w:color="auto"/>
              <w:left w:val="nil"/>
              <w:bottom w:val="single" w:sz="4" w:space="0" w:color="auto"/>
              <w:right w:val="single" w:sz="4" w:space="0" w:color="auto"/>
            </w:tcBorders>
            <w:noWrap/>
            <w:vAlign w:val="bottom"/>
            <w:hideMark/>
          </w:tcPr>
          <w:p w:rsidR="00FD77A5" w:rsidRDefault="00FD77A5" w:rsidP="003332FD">
            <w:pPr>
              <w:jc w:val="center"/>
              <w:rPr>
                <w:b/>
                <w:bCs/>
                <w:color w:val="000000"/>
              </w:rPr>
            </w:pPr>
            <w:r>
              <w:rPr>
                <w:b/>
                <w:bCs/>
                <w:color w:val="000000"/>
              </w:rPr>
              <w:t>Jan</w:t>
            </w:r>
          </w:p>
        </w:tc>
        <w:tc>
          <w:tcPr>
            <w:tcW w:w="596" w:type="dxa"/>
            <w:tcBorders>
              <w:top w:val="single" w:sz="4" w:space="0" w:color="auto"/>
              <w:left w:val="nil"/>
              <w:bottom w:val="single" w:sz="4" w:space="0" w:color="auto"/>
              <w:right w:val="single" w:sz="4" w:space="0" w:color="auto"/>
            </w:tcBorders>
            <w:noWrap/>
            <w:vAlign w:val="bottom"/>
            <w:hideMark/>
          </w:tcPr>
          <w:p w:rsidR="00FD77A5" w:rsidRDefault="00FD77A5" w:rsidP="003332FD">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noWrap/>
            <w:vAlign w:val="bottom"/>
            <w:hideMark/>
          </w:tcPr>
          <w:p w:rsidR="00FD77A5" w:rsidRDefault="00FD77A5" w:rsidP="003332FD">
            <w:pPr>
              <w:jc w:val="center"/>
              <w:rPr>
                <w:b/>
                <w:bCs/>
                <w:color w:val="000000"/>
              </w:rPr>
            </w:pPr>
            <w:r>
              <w:rPr>
                <w:b/>
                <w:bCs/>
                <w:color w:val="000000"/>
              </w:rPr>
              <w:t>Apr</w:t>
            </w: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center"/>
            <w:hideMark/>
          </w:tcPr>
          <w:p w:rsidR="00FD77A5" w:rsidRDefault="00FD77A5" w:rsidP="003332FD">
            <w:pPr>
              <w:rPr>
                <w:color w:val="000000"/>
                <w:sz w:val="20"/>
              </w:rPr>
            </w:pPr>
            <w:r>
              <w:rPr>
                <w:color w:val="000000"/>
                <w:sz w:val="20"/>
              </w:rPr>
              <w:t>Dean</w:t>
            </w:r>
          </w:p>
        </w:tc>
        <w:tc>
          <w:tcPr>
            <w:tcW w:w="1645" w:type="dxa"/>
            <w:tcBorders>
              <w:top w:val="nil"/>
              <w:left w:val="nil"/>
              <w:bottom w:val="single" w:sz="4" w:space="0" w:color="auto"/>
              <w:right w:val="single" w:sz="4" w:space="0" w:color="auto"/>
            </w:tcBorders>
            <w:shd w:val="clear" w:color="auto" w:fill="FFFFFF"/>
            <w:vAlign w:val="center"/>
            <w:hideMark/>
          </w:tcPr>
          <w:p w:rsidR="00FD77A5" w:rsidRDefault="00FD77A5" w:rsidP="003332FD">
            <w:pPr>
              <w:rPr>
                <w:color w:val="000000"/>
                <w:sz w:val="20"/>
              </w:rPr>
            </w:pPr>
            <w:r>
              <w:rPr>
                <w:color w:val="000000"/>
                <w:sz w:val="20"/>
              </w:rPr>
              <w:t>Adams</w:t>
            </w:r>
          </w:p>
        </w:tc>
        <w:tc>
          <w:tcPr>
            <w:tcW w:w="2891" w:type="dxa"/>
            <w:tcBorders>
              <w:top w:val="nil"/>
              <w:left w:val="nil"/>
              <w:bottom w:val="single" w:sz="4" w:space="0" w:color="auto"/>
              <w:right w:val="single" w:sz="4" w:space="0" w:color="auto"/>
            </w:tcBorders>
            <w:shd w:val="clear" w:color="auto" w:fill="FFFFFF"/>
            <w:vAlign w:val="center"/>
            <w:hideMark/>
          </w:tcPr>
          <w:p w:rsidR="00FD77A5" w:rsidRDefault="00FD77A5" w:rsidP="003332FD">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A</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866394"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Michael</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Brown</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330D3E"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Sarah</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Ryan</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866394" w:rsidP="003332FD">
            <w:pPr>
              <w:jc w:val="center"/>
              <w:rPr>
                <w:rFonts w:asciiTheme="minorHAnsi" w:hAnsiTheme="minorHAnsi"/>
                <w:color w:val="000000"/>
                <w:sz w:val="20"/>
              </w:rPr>
            </w:pPr>
            <w:r>
              <w:rPr>
                <w:rFonts w:asciiTheme="minorHAnsi" w:hAnsiTheme="minorHAnsi"/>
                <w:color w:val="000000"/>
                <w:sz w:val="20"/>
              </w:rPr>
              <w:t>A</w:t>
            </w:r>
          </w:p>
        </w:tc>
      </w:tr>
      <w:tr w:rsidR="00FD77A5" w:rsidTr="003332FD">
        <w:trPr>
          <w:trHeight w:val="300"/>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Shana </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Carpenter</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241E10"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Steven</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Lonergan</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P-sub</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241E10"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Bethany</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Gray</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761EA9"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Monica</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Haddad</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241E10"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Tera</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Jordan</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241E10"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Michael</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Bailey</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241E10"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Donna</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Winham</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866394" w:rsidP="003332FD">
            <w:pPr>
              <w:jc w:val="center"/>
              <w:rPr>
                <w:rFonts w:asciiTheme="minorHAnsi" w:hAnsiTheme="minorHAnsi"/>
                <w:color w:val="000000"/>
                <w:sz w:val="20"/>
              </w:rPr>
            </w:pPr>
            <w:r>
              <w:rPr>
                <w:rFonts w:asciiTheme="minorHAnsi" w:hAnsiTheme="minorHAnsi"/>
                <w:color w:val="000000"/>
                <w:sz w:val="20"/>
              </w:rPr>
              <w:t>A</w:t>
            </w:r>
          </w:p>
        </w:tc>
      </w:tr>
      <w:tr w:rsidR="00FD77A5" w:rsidTr="003332FD">
        <w:trPr>
          <w:trHeight w:val="525"/>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Scott</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Nelson</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241E10"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Daji</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Qiao</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866394" w:rsidP="003332FD">
            <w:pPr>
              <w:jc w:val="center"/>
              <w:rPr>
                <w:rFonts w:asciiTheme="minorHAnsi" w:hAnsiTheme="minorHAnsi"/>
                <w:color w:val="000000"/>
                <w:sz w:val="20"/>
              </w:rPr>
            </w:pPr>
            <w:r>
              <w:rPr>
                <w:rFonts w:asciiTheme="minorHAnsi" w:hAnsiTheme="minorHAnsi"/>
                <w:color w:val="000000"/>
                <w:sz w:val="20"/>
              </w:rPr>
              <w:t>A</w:t>
            </w:r>
          </w:p>
        </w:tc>
      </w:tr>
      <w:tr w:rsidR="00FD77A5" w:rsidTr="003332FD">
        <w:trPr>
          <w:trHeight w:val="525"/>
        </w:trPr>
        <w:tc>
          <w:tcPr>
            <w:tcW w:w="1081" w:type="dxa"/>
            <w:tcBorders>
              <w:top w:val="nil"/>
              <w:left w:val="single" w:sz="4" w:space="0" w:color="auto"/>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Maria</w:t>
            </w:r>
          </w:p>
        </w:tc>
        <w:tc>
          <w:tcPr>
            <w:tcW w:w="1645"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Salas-Fernandez</w:t>
            </w:r>
          </w:p>
        </w:tc>
        <w:tc>
          <w:tcPr>
            <w:tcW w:w="2891" w:type="dxa"/>
            <w:tcBorders>
              <w:top w:val="nil"/>
              <w:left w:val="nil"/>
              <w:bottom w:val="single" w:sz="4" w:space="0" w:color="auto"/>
              <w:right w:val="single" w:sz="4" w:space="0" w:color="auto"/>
            </w:tcBorders>
            <w:vAlign w:val="center"/>
            <w:hideMark/>
          </w:tcPr>
          <w:p w:rsidR="00FD77A5" w:rsidRDefault="00FD77A5" w:rsidP="003332FD">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A</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241E10"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center"/>
            <w:hideMark/>
          </w:tcPr>
          <w:p w:rsidR="00FD77A5" w:rsidRDefault="00FD77A5" w:rsidP="003332FD">
            <w:pPr>
              <w:rPr>
                <w:sz w:val="20"/>
              </w:rPr>
            </w:pPr>
            <w:proofErr w:type="spellStart"/>
            <w:r>
              <w:rPr>
                <w:color w:val="000000"/>
                <w:sz w:val="20"/>
              </w:rPr>
              <w:t>Wensheng</w:t>
            </w:r>
            <w:proofErr w:type="spellEnd"/>
          </w:p>
        </w:tc>
        <w:tc>
          <w:tcPr>
            <w:tcW w:w="1645" w:type="dxa"/>
            <w:tcBorders>
              <w:top w:val="nil"/>
              <w:left w:val="nil"/>
              <w:bottom w:val="single" w:sz="4" w:space="0" w:color="auto"/>
              <w:right w:val="single" w:sz="4" w:space="0" w:color="auto"/>
            </w:tcBorders>
            <w:shd w:val="clear" w:color="auto" w:fill="FFFFFF"/>
            <w:vAlign w:val="center"/>
            <w:hideMark/>
          </w:tcPr>
          <w:p w:rsidR="00FD77A5" w:rsidRDefault="00FD77A5" w:rsidP="003332FD">
            <w:pPr>
              <w:rPr>
                <w:sz w:val="20"/>
              </w:rPr>
            </w:pPr>
            <w:r>
              <w:rPr>
                <w:color w:val="000000"/>
                <w:sz w:val="20"/>
              </w:rPr>
              <w:t>Zhang</w:t>
            </w:r>
          </w:p>
        </w:tc>
        <w:tc>
          <w:tcPr>
            <w:tcW w:w="2891" w:type="dxa"/>
            <w:tcBorders>
              <w:top w:val="nil"/>
              <w:left w:val="nil"/>
              <w:bottom w:val="single" w:sz="4" w:space="0" w:color="auto"/>
              <w:right w:val="single" w:sz="4" w:space="0" w:color="auto"/>
            </w:tcBorders>
            <w:shd w:val="clear" w:color="auto" w:fill="FFFFFF"/>
            <w:vAlign w:val="center"/>
            <w:hideMark/>
          </w:tcPr>
          <w:p w:rsidR="00FD77A5" w:rsidRDefault="00FD77A5" w:rsidP="003332FD">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241E10"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center"/>
            <w:hideMark/>
          </w:tcPr>
          <w:p w:rsidR="00FD77A5" w:rsidRDefault="00FD77A5" w:rsidP="003332FD">
            <w:pPr>
              <w:rPr>
                <w:sz w:val="20"/>
              </w:rPr>
            </w:pPr>
            <w:r>
              <w:rPr>
                <w:color w:val="000000"/>
                <w:sz w:val="20"/>
              </w:rPr>
              <w:t>Song-</w:t>
            </w:r>
            <w:proofErr w:type="spellStart"/>
            <w:r>
              <w:rPr>
                <w:color w:val="000000"/>
                <w:sz w:val="20"/>
              </w:rPr>
              <w:t>Charng</w:t>
            </w:r>
            <w:proofErr w:type="spellEnd"/>
          </w:p>
        </w:tc>
        <w:tc>
          <w:tcPr>
            <w:tcW w:w="1645" w:type="dxa"/>
            <w:tcBorders>
              <w:top w:val="nil"/>
              <w:left w:val="nil"/>
              <w:bottom w:val="single" w:sz="4" w:space="0" w:color="auto"/>
              <w:right w:val="single" w:sz="4" w:space="0" w:color="auto"/>
            </w:tcBorders>
            <w:shd w:val="clear" w:color="auto" w:fill="FFFFFF"/>
            <w:vAlign w:val="center"/>
            <w:hideMark/>
          </w:tcPr>
          <w:p w:rsidR="00FD77A5" w:rsidRDefault="00FD77A5" w:rsidP="003332FD">
            <w:pPr>
              <w:rPr>
                <w:sz w:val="20"/>
              </w:rPr>
            </w:pPr>
            <w:r>
              <w:rPr>
                <w:color w:val="000000"/>
                <w:sz w:val="20"/>
              </w:rPr>
              <w:t>Kong</w:t>
            </w:r>
          </w:p>
        </w:tc>
        <w:tc>
          <w:tcPr>
            <w:tcW w:w="2891" w:type="dxa"/>
            <w:tcBorders>
              <w:top w:val="nil"/>
              <w:left w:val="nil"/>
              <w:bottom w:val="single" w:sz="4" w:space="0" w:color="auto"/>
              <w:right w:val="single" w:sz="4" w:space="0" w:color="auto"/>
            </w:tcBorders>
            <w:shd w:val="clear" w:color="auto" w:fill="FFFFFF"/>
            <w:vAlign w:val="center"/>
            <w:hideMark/>
          </w:tcPr>
          <w:p w:rsidR="00FD77A5" w:rsidRDefault="00FD77A5" w:rsidP="003332FD">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A</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A</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866394" w:rsidP="003332FD">
            <w:pPr>
              <w:jc w:val="center"/>
              <w:rPr>
                <w:rFonts w:asciiTheme="minorHAnsi" w:hAnsiTheme="minorHAnsi"/>
                <w:color w:val="000000"/>
                <w:sz w:val="20"/>
              </w:rPr>
            </w:pPr>
            <w:r>
              <w:rPr>
                <w:rFonts w:asciiTheme="minorHAnsi" w:hAnsiTheme="minorHAnsi"/>
                <w:color w:val="000000"/>
                <w:sz w:val="20"/>
              </w:rPr>
              <w:t>A</w:t>
            </w: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bottom"/>
          </w:tcPr>
          <w:p w:rsidR="00FD77A5" w:rsidRDefault="00FD77A5" w:rsidP="003332FD">
            <w:pPr>
              <w:rPr>
                <w:sz w:val="20"/>
              </w:rPr>
            </w:pPr>
          </w:p>
        </w:tc>
        <w:tc>
          <w:tcPr>
            <w:tcW w:w="1645" w:type="dxa"/>
            <w:tcBorders>
              <w:top w:val="nil"/>
              <w:left w:val="nil"/>
              <w:bottom w:val="single" w:sz="4" w:space="0" w:color="auto"/>
              <w:right w:val="single" w:sz="4" w:space="0" w:color="auto"/>
            </w:tcBorders>
            <w:shd w:val="clear" w:color="auto" w:fill="FFFFFF"/>
            <w:vAlign w:val="bottom"/>
          </w:tcPr>
          <w:p w:rsidR="00FD77A5" w:rsidRDefault="00FD77A5" w:rsidP="003332FD">
            <w:pPr>
              <w:rPr>
                <w:sz w:val="20"/>
              </w:rPr>
            </w:pPr>
          </w:p>
        </w:tc>
        <w:tc>
          <w:tcPr>
            <w:tcW w:w="2891"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rsidR="00FD77A5" w:rsidRDefault="00FD77A5" w:rsidP="003332FD">
            <w:pPr>
              <w:jc w:val="center"/>
              <w:rPr>
                <w:color w:val="000000"/>
                <w:sz w:val="20"/>
              </w:rPr>
            </w:pPr>
          </w:p>
        </w:tc>
        <w:tc>
          <w:tcPr>
            <w:tcW w:w="684" w:type="dxa"/>
            <w:tcBorders>
              <w:top w:val="nil"/>
              <w:left w:val="nil"/>
              <w:bottom w:val="single" w:sz="4" w:space="0" w:color="auto"/>
              <w:right w:val="single" w:sz="4" w:space="0" w:color="auto"/>
            </w:tcBorders>
            <w:vAlign w:val="center"/>
          </w:tcPr>
          <w:p w:rsidR="00FD77A5" w:rsidRDefault="00FD77A5" w:rsidP="003332FD">
            <w:pPr>
              <w:jc w:val="center"/>
              <w:rPr>
                <w:color w:val="000000"/>
                <w:sz w:val="20"/>
              </w:rPr>
            </w:pPr>
          </w:p>
        </w:tc>
        <w:tc>
          <w:tcPr>
            <w:tcW w:w="571" w:type="dxa"/>
            <w:tcBorders>
              <w:top w:val="nil"/>
              <w:left w:val="nil"/>
              <w:bottom w:val="single" w:sz="4" w:space="0" w:color="auto"/>
              <w:right w:val="single" w:sz="4" w:space="0" w:color="auto"/>
            </w:tcBorders>
            <w:noWrap/>
            <w:vAlign w:val="center"/>
          </w:tcPr>
          <w:p w:rsidR="00FD77A5" w:rsidRDefault="00FD77A5" w:rsidP="003332FD"/>
        </w:tc>
        <w:tc>
          <w:tcPr>
            <w:tcW w:w="584"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16"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bottom"/>
          </w:tcPr>
          <w:p w:rsidR="00FD77A5" w:rsidRDefault="00FD77A5" w:rsidP="003332FD">
            <w:pPr>
              <w:rPr>
                <w:sz w:val="20"/>
              </w:rPr>
            </w:pPr>
          </w:p>
        </w:tc>
        <w:tc>
          <w:tcPr>
            <w:tcW w:w="1645" w:type="dxa"/>
            <w:tcBorders>
              <w:top w:val="nil"/>
              <w:left w:val="nil"/>
              <w:bottom w:val="single" w:sz="4" w:space="0" w:color="auto"/>
              <w:right w:val="single" w:sz="4" w:space="0" w:color="auto"/>
            </w:tcBorders>
            <w:shd w:val="clear" w:color="auto" w:fill="FFFFFF"/>
            <w:vAlign w:val="bottom"/>
          </w:tcPr>
          <w:p w:rsidR="00FD77A5" w:rsidRDefault="00FD77A5" w:rsidP="003332FD">
            <w:pPr>
              <w:rPr>
                <w:sz w:val="20"/>
              </w:rPr>
            </w:pPr>
          </w:p>
        </w:tc>
        <w:tc>
          <w:tcPr>
            <w:tcW w:w="2891" w:type="dxa"/>
            <w:tcBorders>
              <w:top w:val="nil"/>
              <w:left w:val="nil"/>
              <w:bottom w:val="single" w:sz="4" w:space="0" w:color="auto"/>
              <w:right w:val="single" w:sz="4" w:space="0" w:color="auto"/>
            </w:tcBorders>
            <w:shd w:val="clear" w:color="auto" w:fill="FFFFFF"/>
            <w:vAlign w:val="bottom"/>
          </w:tcPr>
          <w:p w:rsidR="00FD77A5" w:rsidRDefault="00FD77A5" w:rsidP="003332FD">
            <w:pPr>
              <w:rPr>
                <w:color w:val="000000"/>
                <w:sz w:val="20"/>
              </w:rPr>
            </w:pPr>
          </w:p>
        </w:tc>
        <w:tc>
          <w:tcPr>
            <w:tcW w:w="572" w:type="dxa"/>
            <w:tcBorders>
              <w:top w:val="nil"/>
              <w:left w:val="nil"/>
              <w:bottom w:val="single" w:sz="4" w:space="0" w:color="auto"/>
              <w:right w:val="single" w:sz="4" w:space="0" w:color="auto"/>
            </w:tcBorders>
            <w:vAlign w:val="center"/>
          </w:tcPr>
          <w:p w:rsidR="00FD77A5" w:rsidRDefault="00FD77A5" w:rsidP="003332FD">
            <w:pPr>
              <w:jc w:val="center"/>
              <w:rPr>
                <w:color w:val="000000"/>
                <w:sz w:val="20"/>
              </w:rPr>
            </w:pPr>
          </w:p>
        </w:tc>
        <w:tc>
          <w:tcPr>
            <w:tcW w:w="684" w:type="dxa"/>
            <w:tcBorders>
              <w:top w:val="nil"/>
              <w:left w:val="nil"/>
              <w:bottom w:val="single" w:sz="4" w:space="0" w:color="auto"/>
              <w:right w:val="single" w:sz="4" w:space="0" w:color="auto"/>
            </w:tcBorders>
            <w:vAlign w:val="center"/>
          </w:tcPr>
          <w:p w:rsidR="00FD77A5" w:rsidRDefault="00FD77A5" w:rsidP="003332FD">
            <w:pPr>
              <w:jc w:val="center"/>
              <w:rPr>
                <w:color w:val="000000"/>
                <w:sz w:val="20"/>
              </w:rPr>
            </w:pPr>
          </w:p>
        </w:tc>
        <w:tc>
          <w:tcPr>
            <w:tcW w:w="571" w:type="dxa"/>
            <w:tcBorders>
              <w:top w:val="nil"/>
              <w:left w:val="nil"/>
              <w:bottom w:val="single" w:sz="4" w:space="0" w:color="auto"/>
              <w:right w:val="single" w:sz="4" w:space="0" w:color="auto"/>
            </w:tcBorders>
            <w:noWrap/>
            <w:vAlign w:val="center"/>
          </w:tcPr>
          <w:p w:rsidR="00FD77A5" w:rsidRDefault="00FD77A5" w:rsidP="003332FD"/>
        </w:tc>
        <w:tc>
          <w:tcPr>
            <w:tcW w:w="584"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16"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bottom"/>
            <w:hideMark/>
          </w:tcPr>
          <w:p w:rsidR="00FD77A5" w:rsidRDefault="00FD77A5" w:rsidP="003332FD">
            <w:pPr>
              <w:rPr>
                <w:rFonts w:asciiTheme="minorHAnsi" w:hAnsiTheme="minorHAnsi" w:cstheme="minorHAnsi"/>
                <w:sz w:val="20"/>
              </w:rPr>
            </w:pPr>
            <w:proofErr w:type="spellStart"/>
            <w:r>
              <w:rPr>
                <w:rFonts w:asciiTheme="minorHAnsi" w:hAnsiTheme="minorHAnsi" w:cstheme="minorHAnsi"/>
                <w:sz w:val="20"/>
              </w:rPr>
              <w:t>Chamari</w:t>
            </w:r>
            <w:proofErr w:type="spellEnd"/>
          </w:p>
        </w:tc>
        <w:tc>
          <w:tcPr>
            <w:tcW w:w="1645"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rFonts w:asciiTheme="minorHAnsi" w:hAnsiTheme="minorHAnsi" w:cstheme="minorHAnsi"/>
                <w:sz w:val="20"/>
              </w:rPr>
            </w:pPr>
            <w:proofErr w:type="spellStart"/>
            <w:r>
              <w:rPr>
                <w:rFonts w:asciiTheme="minorHAnsi" w:hAnsiTheme="minorHAnsi" w:cstheme="minorHAnsi"/>
                <w:sz w:val="20"/>
              </w:rPr>
              <w:t>Wijesooriya</w:t>
            </w:r>
            <w:proofErr w:type="spellEnd"/>
          </w:p>
        </w:tc>
        <w:tc>
          <w:tcPr>
            <w:tcW w:w="2891"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hideMark/>
          </w:tcPr>
          <w:p w:rsidR="00FD77A5" w:rsidRDefault="00FD77A5" w:rsidP="003332FD">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866394"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bottom"/>
          </w:tcPr>
          <w:p w:rsidR="00FD77A5" w:rsidRDefault="00FD77A5" w:rsidP="003332FD">
            <w:pPr>
              <w:rPr>
                <w:sz w:val="20"/>
              </w:rPr>
            </w:pPr>
          </w:p>
        </w:tc>
        <w:tc>
          <w:tcPr>
            <w:tcW w:w="1645" w:type="dxa"/>
            <w:tcBorders>
              <w:top w:val="nil"/>
              <w:left w:val="nil"/>
              <w:bottom w:val="single" w:sz="4" w:space="0" w:color="auto"/>
              <w:right w:val="single" w:sz="4" w:space="0" w:color="auto"/>
            </w:tcBorders>
            <w:shd w:val="clear" w:color="auto" w:fill="FFFFFF"/>
            <w:vAlign w:val="bottom"/>
          </w:tcPr>
          <w:p w:rsidR="00FD77A5" w:rsidRDefault="00FD77A5" w:rsidP="003332FD">
            <w:pPr>
              <w:rPr>
                <w:sz w:val="20"/>
              </w:rPr>
            </w:pPr>
          </w:p>
        </w:tc>
        <w:tc>
          <w:tcPr>
            <w:tcW w:w="2891"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tcPr>
          <w:p w:rsidR="00FD77A5" w:rsidRDefault="00FD77A5" w:rsidP="003332FD">
            <w:pPr>
              <w:jc w:val="center"/>
              <w:rPr>
                <w:color w:val="000000"/>
                <w:sz w:val="20"/>
              </w:rPr>
            </w:pPr>
          </w:p>
        </w:tc>
        <w:tc>
          <w:tcPr>
            <w:tcW w:w="684" w:type="dxa"/>
            <w:tcBorders>
              <w:top w:val="nil"/>
              <w:left w:val="nil"/>
              <w:bottom w:val="single" w:sz="4" w:space="0" w:color="auto"/>
              <w:right w:val="single" w:sz="4" w:space="0" w:color="auto"/>
            </w:tcBorders>
            <w:vAlign w:val="center"/>
          </w:tcPr>
          <w:p w:rsidR="00FD77A5" w:rsidRDefault="00FD77A5" w:rsidP="003332FD">
            <w:pPr>
              <w:jc w:val="center"/>
              <w:rPr>
                <w:color w:val="000000"/>
                <w:sz w:val="20"/>
              </w:rPr>
            </w:pPr>
          </w:p>
        </w:tc>
        <w:tc>
          <w:tcPr>
            <w:tcW w:w="571" w:type="dxa"/>
            <w:tcBorders>
              <w:top w:val="nil"/>
              <w:left w:val="nil"/>
              <w:bottom w:val="single" w:sz="4" w:space="0" w:color="auto"/>
              <w:right w:val="single" w:sz="4" w:space="0" w:color="auto"/>
            </w:tcBorders>
            <w:noWrap/>
            <w:vAlign w:val="center"/>
          </w:tcPr>
          <w:p w:rsidR="00FD77A5" w:rsidRDefault="00FD77A5" w:rsidP="003332FD"/>
        </w:tc>
        <w:tc>
          <w:tcPr>
            <w:tcW w:w="584"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16"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r>
      <w:tr w:rsidR="00FD77A5" w:rsidTr="003332FD">
        <w:trPr>
          <w:trHeight w:val="525"/>
        </w:trPr>
        <w:tc>
          <w:tcPr>
            <w:tcW w:w="1081" w:type="dxa"/>
            <w:tcBorders>
              <w:top w:val="nil"/>
              <w:left w:val="single" w:sz="4" w:space="0" w:color="auto"/>
              <w:bottom w:val="single" w:sz="4" w:space="0" w:color="auto"/>
              <w:right w:val="single" w:sz="4" w:space="0" w:color="auto"/>
            </w:tcBorders>
            <w:shd w:val="clear" w:color="auto" w:fill="FFFFFF"/>
            <w:hideMark/>
          </w:tcPr>
          <w:p w:rsidR="00FD77A5" w:rsidRDefault="00FD77A5" w:rsidP="003332FD">
            <w:pPr>
              <w:rPr>
                <w:rFonts w:asciiTheme="minorHAnsi" w:hAnsiTheme="minorHAnsi" w:cstheme="minorHAnsi"/>
                <w:sz w:val="20"/>
              </w:rPr>
            </w:pPr>
            <w:r>
              <w:rPr>
                <w:rFonts w:asciiTheme="minorHAnsi" w:hAnsiTheme="minorHAnsi" w:cstheme="minorHAnsi"/>
                <w:sz w:val="20"/>
              </w:rPr>
              <w:t>Amin</w:t>
            </w:r>
          </w:p>
        </w:tc>
        <w:tc>
          <w:tcPr>
            <w:tcW w:w="1645" w:type="dxa"/>
            <w:tcBorders>
              <w:top w:val="nil"/>
              <w:left w:val="nil"/>
              <w:bottom w:val="single" w:sz="4" w:space="0" w:color="auto"/>
              <w:right w:val="single" w:sz="4" w:space="0" w:color="auto"/>
            </w:tcBorders>
            <w:shd w:val="clear" w:color="auto" w:fill="FFFFFF"/>
            <w:hideMark/>
          </w:tcPr>
          <w:p w:rsidR="00FD77A5" w:rsidRDefault="00FD77A5" w:rsidP="003332FD">
            <w:pPr>
              <w:rPr>
                <w:rFonts w:asciiTheme="minorHAnsi" w:hAnsiTheme="minorHAnsi" w:cstheme="minorHAnsi"/>
                <w:sz w:val="20"/>
              </w:rPr>
            </w:pPr>
            <w:proofErr w:type="spellStart"/>
            <w:r>
              <w:rPr>
                <w:rFonts w:asciiTheme="minorHAnsi" w:hAnsiTheme="minorHAnsi" w:cstheme="minorHAnsi"/>
                <w:sz w:val="20"/>
              </w:rPr>
              <w:t>Daghighi</w:t>
            </w:r>
            <w:proofErr w:type="spellEnd"/>
          </w:p>
        </w:tc>
        <w:tc>
          <w:tcPr>
            <w:tcW w:w="2891" w:type="dxa"/>
            <w:tcBorders>
              <w:top w:val="nil"/>
              <w:left w:val="nil"/>
              <w:bottom w:val="single" w:sz="4" w:space="0" w:color="auto"/>
              <w:right w:val="single" w:sz="4" w:space="0" w:color="auto"/>
            </w:tcBorders>
            <w:shd w:val="clear" w:color="auto" w:fill="FFFFFF"/>
            <w:hideMark/>
          </w:tcPr>
          <w:p w:rsidR="00FD77A5" w:rsidRDefault="00FD77A5" w:rsidP="003332FD">
            <w:pPr>
              <w:rPr>
                <w:color w:val="000000"/>
                <w:sz w:val="20"/>
              </w:rPr>
            </w:pPr>
            <w:r>
              <w:rPr>
                <w:color w:val="000000"/>
                <w:sz w:val="20"/>
              </w:rPr>
              <w:t>Grad Student--Physical &amp; Math Sciences &amp; Engineering </w:t>
            </w:r>
          </w:p>
        </w:tc>
        <w:tc>
          <w:tcPr>
            <w:tcW w:w="572" w:type="dxa"/>
            <w:tcBorders>
              <w:top w:val="nil"/>
              <w:left w:val="nil"/>
              <w:bottom w:val="single" w:sz="4" w:space="0" w:color="auto"/>
              <w:right w:val="single" w:sz="4" w:space="0" w:color="auto"/>
            </w:tcBorders>
            <w:shd w:val="clear" w:color="auto" w:fill="FFFFFF"/>
            <w:vAlign w:val="center"/>
            <w:hideMark/>
          </w:tcPr>
          <w:p w:rsidR="00FD77A5" w:rsidRDefault="00FD77A5" w:rsidP="003332FD">
            <w:pPr>
              <w:jc w:val="center"/>
              <w:rPr>
                <w:color w:val="000000"/>
                <w:sz w:val="20"/>
              </w:rPr>
            </w:pPr>
            <w:r>
              <w:rPr>
                <w:color w:val="000000"/>
                <w:sz w:val="20"/>
              </w:rPr>
              <w:t>--</w:t>
            </w:r>
          </w:p>
        </w:tc>
        <w:tc>
          <w:tcPr>
            <w:tcW w:w="684" w:type="dxa"/>
            <w:tcBorders>
              <w:top w:val="nil"/>
              <w:left w:val="nil"/>
              <w:bottom w:val="single" w:sz="4" w:space="0" w:color="auto"/>
              <w:right w:val="single" w:sz="4" w:space="0" w:color="auto"/>
            </w:tcBorders>
            <w:vAlign w:val="center"/>
          </w:tcPr>
          <w:p w:rsidR="00FD77A5" w:rsidRDefault="00FD77A5" w:rsidP="003332FD">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rsidR="00FD77A5" w:rsidRDefault="00FD77A5" w:rsidP="003332FD"/>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A</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rsidR="00FD77A5" w:rsidRDefault="00866394" w:rsidP="003332FD">
            <w:pPr>
              <w:jc w:val="center"/>
              <w:rPr>
                <w:rFonts w:asciiTheme="minorHAnsi" w:hAnsiTheme="minorHAnsi"/>
                <w:color w:val="000000"/>
                <w:sz w:val="20"/>
              </w:rPr>
            </w:pPr>
            <w:r>
              <w:rPr>
                <w:rFonts w:asciiTheme="minorHAnsi" w:hAnsiTheme="minorHAnsi"/>
                <w:color w:val="000000"/>
                <w:sz w:val="20"/>
              </w:rPr>
              <w:t>A</w:t>
            </w:r>
          </w:p>
        </w:tc>
      </w:tr>
      <w:tr w:rsidR="00FD77A5" w:rsidTr="003332FD">
        <w:trPr>
          <w:trHeight w:val="525"/>
        </w:trPr>
        <w:tc>
          <w:tcPr>
            <w:tcW w:w="1081" w:type="dxa"/>
            <w:tcBorders>
              <w:top w:val="nil"/>
              <w:left w:val="single" w:sz="4" w:space="0" w:color="auto"/>
              <w:bottom w:val="single" w:sz="4" w:space="0" w:color="auto"/>
              <w:right w:val="single" w:sz="4" w:space="0" w:color="auto"/>
            </w:tcBorders>
            <w:shd w:val="clear" w:color="auto" w:fill="FFFFFF"/>
            <w:hideMark/>
          </w:tcPr>
          <w:p w:rsidR="00FD77A5" w:rsidRDefault="00FD77A5" w:rsidP="003332FD">
            <w:pPr>
              <w:rPr>
                <w:rFonts w:asciiTheme="minorHAnsi" w:hAnsiTheme="minorHAnsi" w:cstheme="minorHAnsi"/>
                <w:sz w:val="20"/>
              </w:rPr>
            </w:pPr>
            <w:r>
              <w:rPr>
                <w:rFonts w:asciiTheme="minorHAnsi" w:hAnsiTheme="minorHAnsi" w:cstheme="minorHAnsi"/>
                <w:color w:val="333333"/>
                <w:sz w:val="20"/>
              </w:rPr>
              <w:t>Eleanor</w:t>
            </w:r>
          </w:p>
        </w:tc>
        <w:tc>
          <w:tcPr>
            <w:tcW w:w="1645" w:type="dxa"/>
            <w:tcBorders>
              <w:top w:val="nil"/>
              <w:left w:val="nil"/>
              <w:bottom w:val="single" w:sz="4" w:space="0" w:color="auto"/>
              <w:right w:val="single" w:sz="4" w:space="0" w:color="auto"/>
            </w:tcBorders>
            <w:shd w:val="clear" w:color="auto" w:fill="FFFFFF"/>
            <w:hideMark/>
          </w:tcPr>
          <w:p w:rsidR="00FD77A5" w:rsidRDefault="00FD77A5" w:rsidP="003332FD">
            <w:pPr>
              <w:rPr>
                <w:rFonts w:asciiTheme="minorHAnsi" w:hAnsiTheme="minorHAnsi" w:cstheme="minorHAnsi"/>
                <w:sz w:val="20"/>
              </w:rPr>
            </w:pPr>
            <w:r>
              <w:rPr>
                <w:rFonts w:asciiTheme="minorHAnsi" w:hAnsiTheme="minorHAnsi" w:cstheme="minorHAnsi"/>
                <w:color w:val="333333"/>
                <w:sz w:val="20"/>
              </w:rPr>
              <w:t>Field</w:t>
            </w:r>
          </w:p>
        </w:tc>
        <w:tc>
          <w:tcPr>
            <w:tcW w:w="2891" w:type="dxa"/>
            <w:tcBorders>
              <w:top w:val="nil"/>
              <w:left w:val="nil"/>
              <w:bottom w:val="single" w:sz="4" w:space="0" w:color="auto"/>
              <w:right w:val="single" w:sz="4" w:space="0" w:color="auto"/>
            </w:tcBorders>
            <w:shd w:val="clear" w:color="auto" w:fill="FFFFFF"/>
            <w:hideMark/>
          </w:tcPr>
          <w:p w:rsidR="00FD77A5" w:rsidRDefault="00FD77A5" w:rsidP="003332FD">
            <w:pPr>
              <w:rPr>
                <w:color w:val="000000"/>
                <w:sz w:val="20"/>
              </w:rPr>
            </w:pPr>
            <w:r>
              <w:rPr>
                <w:color w:val="000000"/>
                <w:sz w:val="20"/>
              </w:rPr>
              <w:t>GPSS Pres/Grad Student -- Biological &amp; Agricultural Sciences </w:t>
            </w:r>
          </w:p>
        </w:tc>
        <w:tc>
          <w:tcPr>
            <w:tcW w:w="572" w:type="dxa"/>
            <w:tcBorders>
              <w:top w:val="nil"/>
              <w:left w:val="nil"/>
              <w:bottom w:val="single" w:sz="4" w:space="0" w:color="auto"/>
              <w:right w:val="single" w:sz="4" w:space="0" w:color="auto"/>
            </w:tcBorders>
            <w:shd w:val="clear" w:color="auto" w:fill="FFFFFF"/>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rsidR="00FD77A5" w:rsidRDefault="00866394" w:rsidP="003332FD">
            <w:pPr>
              <w:jc w:val="center"/>
              <w:rPr>
                <w:rFonts w:asciiTheme="minorHAnsi" w:hAnsiTheme="minorHAnsi"/>
                <w:color w:val="000000"/>
                <w:sz w:val="20"/>
              </w:rPr>
            </w:pPr>
            <w:r>
              <w:rPr>
                <w:rFonts w:asciiTheme="minorHAnsi" w:hAnsiTheme="minorHAnsi"/>
                <w:color w:val="000000"/>
                <w:sz w:val="20"/>
              </w:rPr>
              <w:t>A</w:t>
            </w:r>
          </w:p>
        </w:tc>
      </w:tr>
      <w:tr w:rsidR="00FD77A5" w:rsidTr="003332FD">
        <w:trPr>
          <w:trHeight w:val="525"/>
        </w:trPr>
        <w:tc>
          <w:tcPr>
            <w:tcW w:w="1081" w:type="dxa"/>
            <w:tcBorders>
              <w:top w:val="nil"/>
              <w:left w:val="single" w:sz="4" w:space="0" w:color="auto"/>
              <w:bottom w:val="single" w:sz="4" w:space="0" w:color="auto"/>
              <w:right w:val="single" w:sz="4" w:space="0" w:color="auto"/>
            </w:tcBorders>
            <w:shd w:val="clear" w:color="auto" w:fill="FFFFFF"/>
            <w:hideMark/>
          </w:tcPr>
          <w:p w:rsidR="00FD77A5" w:rsidRDefault="00FD77A5" w:rsidP="003332FD">
            <w:pPr>
              <w:rPr>
                <w:rFonts w:asciiTheme="minorHAnsi" w:hAnsiTheme="minorHAnsi" w:cstheme="minorHAnsi"/>
                <w:color w:val="000000"/>
                <w:sz w:val="20"/>
              </w:rPr>
            </w:pPr>
            <w:r>
              <w:rPr>
                <w:rFonts w:asciiTheme="minorHAnsi" w:hAnsiTheme="minorHAnsi" w:cstheme="minorHAnsi"/>
                <w:color w:val="333333"/>
                <w:sz w:val="20"/>
              </w:rPr>
              <w:t>Charles (Chuck)</w:t>
            </w:r>
          </w:p>
        </w:tc>
        <w:tc>
          <w:tcPr>
            <w:tcW w:w="1645" w:type="dxa"/>
            <w:tcBorders>
              <w:top w:val="nil"/>
              <w:left w:val="nil"/>
              <w:bottom w:val="single" w:sz="4" w:space="0" w:color="auto"/>
              <w:right w:val="single" w:sz="4" w:space="0" w:color="auto"/>
            </w:tcBorders>
            <w:shd w:val="clear" w:color="auto" w:fill="FFFFFF"/>
            <w:hideMark/>
          </w:tcPr>
          <w:p w:rsidR="00FD77A5" w:rsidRDefault="00FD77A5" w:rsidP="003332FD">
            <w:pPr>
              <w:rPr>
                <w:rFonts w:asciiTheme="minorHAnsi" w:hAnsiTheme="minorHAnsi" w:cstheme="minorHAnsi"/>
                <w:color w:val="000000"/>
                <w:sz w:val="20"/>
              </w:rPr>
            </w:pPr>
            <w:proofErr w:type="spellStart"/>
            <w:r>
              <w:rPr>
                <w:rFonts w:asciiTheme="minorHAnsi" w:hAnsiTheme="minorHAnsi" w:cstheme="minorHAnsi"/>
                <w:color w:val="333333"/>
                <w:sz w:val="20"/>
              </w:rPr>
              <w:t>Wongus</w:t>
            </w:r>
            <w:proofErr w:type="spellEnd"/>
          </w:p>
        </w:tc>
        <w:tc>
          <w:tcPr>
            <w:tcW w:w="2891" w:type="dxa"/>
            <w:tcBorders>
              <w:top w:val="nil"/>
              <w:left w:val="nil"/>
              <w:bottom w:val="single" w:sz="4" w:space="0" w:color="auto"/>
              <w:right w:val="single" w:sz="4" w:space="0" w:color="auto"/>
            </w:tcBorders>
            <w:shd w:val="clear" w:color="auto" w:fill="FFFFFF"/>
            <w:hideMark/>
          </w:tcPr>
          <w:p w:rsidR="00FD77A5" w:rsidRDefault="00FD77A5" w:rsidP="003332FD">
            <w:pPr>
              <w:rPr>
                <w:color w:val="000000"/>
                <w:sz w:val="20"/>
              </w:rPr>
            </w:pPr>
            <w:r>
              <w:rPr>
                <w:color w:val="000000"/>
                <w:sz w:val="20"/>
              </w:rPr>
              <w:t>Grad Student--Social Sciences &amp; Education</w:t>
            </w:r>
          </w:p>
        </w:tc>
        <w:tc>
          <w:tcPr>
            <w:tcW w:w="572" w:type="dxa"/>
            <w:tcBorders>
              <w:top w:val="nil"/>
              <w:left w:val="nil"/>
              <w:bottom w:val="single" w:sz="4" w:space="0" w:color="auto"/>
              <w:right w:val="single" w:sz="4" w:space="0" w:color="auto"/>
            </w:tcBorders>
            <w:shd w:val="clear" w:color="auto" w:fill="FFFFFF"/>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rFonts w:asciiTheme="minorHAnsi" w:hAnsiTheme="minorHAnsi" w:cstheme="minorHAnsi"/>
                <w:color w:val="000000"/>
                <w:sz w:val="20"/>
              </w:rPr>
            </w:pPr>
            <w:r>
              <w:rPr>
                <w:rFonts w:asciiTheme="minorHAnsi" w:hAnsiTheme="minorHAnsi" w:cstheme="minorHAnsi"/>
                <w:color w:val="000000"/>
                <w:sz w:val="20"/>
              </w:rPr>
              <w:t>A</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A</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A</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rsidR="00FD77A5" w:rsidRDefault="00866394" w:rsidP="003332FD">
            <w:pPr>
              <w:jc w:val="center"/>
              <w:rPr>
                <w:rFonts w:asciiTheme="minorHAnsi" w:hAnsiTheme="minorHAnsi"/>
                <w:color w:val="000000"/>
                <w:sz w:val="20"/>
              </w:rPr>
            </w:pPr>
            <w:r>
              <w:rPr>
                <w:rFonts w:asciiTheme="minorHAnsi" w:hAnsiTheme="minorHAnsi"/>
                <w:color w:val="000000"/>
                <w:sz w:val="20"/>
              </w:rPr>
              <w:t>A</w:t>
            </w: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Carrie Ann</w:t>
            </w:r>
          </w:p>
        </w:tc>
        <w:tc>
          <w:tcPr>
            <w:tcW w:w="1645"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Johnson</w:t>
            </w:r>
          </w:p>
        </w:tc>
        <w:tc>
          <w:tcPr>
            <w:tcW w:w="2891"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Grad Student -- Arts &amp; Humanities</w:t>
            </w:r>
          </w:p>
        </w:tc>
        <w:tc>
          <w:tcPr>
            <w:tcW w:w="572" w:type="dxa"/>
            <w:tcBorders>
              <w:top w:val="nil"/>
              <w:left w:val="nil"/>
              <w:bottom w:val="single" w:sz="4" w:space="0" w:color="auto"/>
              <w:right w:val="single" w:sz="4" w:space="0" w:color="auto"/>
            </w:tcBorders>
            <w:shd w:val="clear" w:color="auto" w:fill="FFFFFF"/>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A</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rsidR="00FD77A5" w:rsidRDefault="00866394" w:rsidP="003332FD">
            <w:pPr>
              <w:jc w:val="center"/>
              <w:rPr>
                <w:rFonts w:asciiTheme="minorHAnsi" w:hAnsiTheme="minorHAnsi"/>
                <w:color w:val="000000"/>
                <w:sz w:val="20"/>
              </w:rPr>
            </w:pPr>
            <w:r>
              <w:rPr>
                <w:rFonts w:asciiTheme="minorHAnsi" w:hAnsiTheme="minorHAnsi"/>
                <w:color w:val="000000"/>
                <w:sz w:val="20"/>
              </w:rPr>
              <w:t>A</w:t>
            </w: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 </w:t>
            </w:r>
          </w:p>
        </w:tc>
        <w:tc>
          <w:tcPr>
            <w:tcW w:w="1645"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 </w:t>
            </w:r>
          </w:p>
        </w:tc>
        <w:tc>
          <w:tcPr>
            <w:tcW w:w="2891"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rsidR="00FD77A5" w:rsidRDefault="00FD77A5" w:rsidP="003332FD">
            <w:pPr>
              <w:jc w:val="center"/>
              <w:rPr>
                <w:color w:val="000000"/>
                <w:sz w:val="20"/>
              </w:rPr>
            </w:pPr>
          </w:p>
        </w:tc>
        <w:tc>
          <w:tcPr>
            <w:tcW w:w="684" w:type="dxa"/>
            <w:tcBorders>
              <w:top w:val="nil"/>
              <w:left w:val="nil"/>
              <w:bottom w:val="single" w:sz="4" w:space="0" w:color="auto"/>
              <w:right w:val="single" w:sz="4" w:space="0" w:color="auto"/>
            </w:tcBorders>
            <w:vAlign w:val="center"/>
          </w:tcPr>
          <w:p w:rsidR="00FD77A5" w:rsidRDefault="00FD77A5" w:rsidP="003332FD">
            <w:pPr>
              <w:jc w:val="center"/>
              <w:rPr>
                <w:color w:val="000000"/>
                <w:sz w:val="20"/>
              </w:rPr>
            </w:pPr>
          </w:p>
        </w:tc>
        <w:tc>
          <w:tcPr>
            <w:tcW w:w="571" w:type="dxa"/>
            <w:tcBorders>
              <w:top w:val="nil"/>
              <w:left w:val="nil"/>
              <w:bottom w:val="single" w:sz="4" w:space="0" w:color="auto"/>
              <w:right w:val="single" w:sz="4" w:space="0" w:color="auto"/>
            </w:tcBorders>
            <w:noWrap/>
            <w:vAlign w:val="center"/>
          </w:tcPr>
          <w:p w:rsidR="00FD77A5" w:rsidRDefault="00FD77A5" w:rsidP="003332FD"/>
        </w:tc>
        <w:tc>
          <w:tcPr>
            <w:tcW w:w="584"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16"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Ex-officio</w:t>
            </w:r>
          </w:p>
        </w:tc>
        <w:tc>
          <w:tcPr>
            <w:tcW w:w="1645"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 </w:t>
            </w:r>
          </w:p>
        </w:tc>
        <w:tc>
          <w:tcPr>
            <w:tcW w:w="2891" w:type="dxa"/>
            <w:tcBorders>
              <w:top w:val="nil"/>
              <w:left w:val="nil"/>
              <w:bottom w:val="single" w:sz="4" w:space="0" w:color="auto"/>
              <w:right w:val="single" w:sz="4" w:space="0" w:color="auto"/>
            </w:tcBorders>
            <w:vAlign w:val="bottom"/>
            <w:hideMark/>
          </w:tcPr>
          <w:p w:rsidR="00FD77A5" w:rsidRDefault="00FD77A5" w:rsidP="003332FD">
            <w:pPr>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rsidR="00FD77A5" w:rsidRDefault="00FD77A5" w:rsidP="003332FD">
            <w:pPr>
              <w:jc w:val="center"/>
              <w:rPr>
                <w:color w:val="000000"/>
                <w:sz w:val="20"/>
              </w:rPr>
            </w:pPr>
          </w:p>
        </w:tc>
        <w:tc>
          <w:tcPr>
            <w:tcW w:w="684" w:type="dxa"/>
            <w:tcBorders>
              <w:top w:val="nil"/>
              <w:left w:val="nil"/>
              <w:bottom w:val="single" w:sz="4" w:space="0" w:color="auto"/>
              <w:right w:val="single" w:sz="4" w:space="0" w:color="auto"/>
            </w:tcBorders>
            <w:vAlign w:val="center"/>
          </w:tcPr>
          <w:p w:rsidR="00FD77A5" w:rsidRDefault="00FD77A5" w:rsidP="003332FD">
            <w:pPr>
              <w:jc w:val="center"/>
              <w:rPr>
                <w:color w:val="000000"/>
                <w:sz w:val="20"/>
              </w:rPr>
            </w:pPr>
          </w:p>
        </w:tc>
        <w:tc>
          <w:tcPr>
            <w:tcW w:w="571" w:type="dxa"/>
            <w:tcBorders>
              <w:top w:val="nil"/>
              <w:left w:val="nil"/>
              <w:bottom w:val="single" w:sz="4" w:space="0" w:color="auto"/>
              <w:right w:val="single" w:sz="4" w:space="0" w:color="auto"/>
            </w:tcBorders>
            <w:noWrap/>
            <w:vAlign w:val="center"/>
          </w:tcPr>
          <w:p w:rsidR="00FD77A5" w:rsidRDefault="00FD77A5" w:rsidP="003332FD"/>
        </w:tc>
        <w:tc>
          <w:tcPr>
            <w:tcW w:w="584"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16"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 </w:t>
            </w:r>
          </w:p>
        </w:tc>
        <w:tc>
          <w:tcPr>
            <w:tcW w:w="1645"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 </w:t>
            </w:r>
          </w:p>
        </w:tc>
        <w:tc>
          <w:tcPr>
            <w:tcW w:w="2891" w:type="dxa"/>
            <w:tcBorders>
              <w:top w:val="nil"/>
              <w:left w:val="nil"/>
              <w:bottom w:val="single" w:sz="4" w:space="0" w:color="auto"/>
              <w:right w:val="single" w:sz="4" w:space="0" w:color="auto"/>
            </w:tcBorders>
            <w:noWrap/>
            <w:vAlign w:val="bottom"/>
            <w:hideMark/>
          </w:tcPr>
          <w:p w:rsidR="00FD77A5" w:rsidRDefault="00FD77A5" w:rsidP="003332FD">
            <w:pPr>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rsidR="00FD77A5" w:rsidRDefault="00FD77A5" w:rsidP="003332FD">
            <w:pPr>
              <w:jc w:val="center"/>
              <w:rPr>
                <w:color w:val="000000"/>
                <w:sz w:val="20"/>
              </w:rPr>
            </w:pPr>
          </w:p>
        </w:tc>
        <w:tc>
          <w:tcPr>
            <w:tcW w:w="684" w:type="dxa"/>
            <w:tcBorders>
              <w:top w:val="nil"/>
              <w:left w:val="nil"/>
              <w:bottom w:val="single" w:sz="4" w:space="0" w:color="auto"/>
              <w:right w:val="single" w:sz="4" w:space="0" w:color="auto"/>
            </w:tcBorders>
            <w:vAlign w:val="center"/>
          </w:tcPr>
          <w:p w:rsidR="00FD77A5" w:rsidRDefault="00FD77A5" w:rsidP="003332FD">
            <w:pPr>
              <w:jc w:val="center"/>
              <w:rPr>
                <w:color w:val="000000"/>
                <w:sz w:val="20"/>
              </w:rPr>
            </w:pPr>
          </w:p>
        </w:tc>
        <w:tc>
          <w:tcPr>
            <w:tcW w:w="571" w:type="dxa"/>
            <w:tcBorders>
              <w:top w:val="nil"/>
              <w:left w:val="nil"/>
              <w:bottom w:val="single" w:sz="4" w:space="0" w:color="auto"/>
              <w:right w:val="single" w:sz="4" w:space="0" w:color="auto"/>
            </w:tcBorders>
            <w:noWrap/>
            <w:vAlign w:val="center"/>
          </w:tcPr>
          <w:p w:rsidR="00FD77A5" w:rsidRDefault="00FD77A5" w:rsidP="003332FD"/>
        </w:tc>
        <w:tc>
          <w:tcPr>
            <w:tcW w:w="584"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16" w:type="dxa"/>
            <w:tcBorders>
              <w:top w:val="nil"/>
              <w:left w:val="nil"/>
              <w:bottom w:val="single" w:sz="4" w:space="0" w:color="auto"/>
              <w:right w:val="single" w:sz="4" w:space="0" w:color="auto"/>
            </w:tcBorders>
            <w:noWrap/>
            <w:vAlign w:val="center"/>
          </w:tcPr>
          <w:p w:rsidR="00FD77A5" w:rsidRDefault="00FD77A5" w:rsidP="003332FD">
            <w:pPr>
              <w:jc w:val="center"/>
              <w:rPr>
                <w:color w:val="000000"/>
                <w:sz w:val="20"/>
              </w:rPr>
            </w:pP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Bill</w:t>
            </w:r>
          </w:p>
        </w:tc>
        <w:tc>
          <w:tcPr>
            <w:tcW w:w="1645"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Graves</w:t>
            </w:r>
          </w:p>
        </w:tc>
        <w:tc>
          <w:tcPr>
            <w:tcW w:w="2891" w:type="dxa"/>
            <w:tcBorders>
              <w:top w:val="nil"/>
              <w:left w:val="nil"/>
              <w:bottom w:val="single" w:sz="4" w:space="0" w:color="auto"/>
              <w:right w:val="single" w:sz="4" w:space="0" w:color="auto"/>
            </w:tcBorders>
            <w:vAlign w:val="bottom"/>
            <w:hideMark/>
          </w:tcPr>
          <w:p w:rsidR="00FD77A5" w:rsidRDefault="00FD77A5" w:rsidP="003332FD">
            <w:pPr>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241E10"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Carolyn</w:t>
            </w:r>
          </w:p>
        </w:tc>
        <w:tc>
          <w:tcPr>
            <w:tcW w:w="1645"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Cutrona</w:t>
            </w:r>
          </w:p>
        </w:tc>
        <w:tc>
          <w:tcPr>
            <w:tcW w:w="2891" w:type="dxa"/>
            <w:tcBorders>
              <w:top w:val="nil"/>
              <w:left w:val="nil"/>
              <w:bottom w:val="single" w:sz="4" w:space="0" w:color="auto"/>
              <w:right w:val="single" w:sz="4" w:space="0" w:color="auto"/>
            </w:tcBorders>
            <w:vAlign w:val="bottom"/>
            <w:hideMark/>
          </w:tcPr>
          <w:p w:rsidR="00FD77A5" w:rsidRDefault="00FD77A5" w:rsidP="003332FD">
            <w:pPr>
              <w:rPr>
                <w:color w:val="000000"/>
                <w:sz w:val="20"/>
              </w:rPr>
            </w:pPr>
            <w:r>
              <w:rPr>
                <w:color w:val="000000"/>
                <w:sz w:val="20"/>
              </w:rPr>
              <w:t>Associate Dean, Graduate College</w:t>
            </w:r>
          </w:p>
        </w:tc>
        <w:tc>
          <w:tcPr>
            <w:tcW w:w="572" w:type="dxa"/>
            <w:tcBorders>
              <w:top w:val="nil"/>
              <w:left w:val="nil"/>
              <w:bottom w:val="single" w:sz="4" w:space="0" w:color="auto"/>
              <w:right w:val="single" w:sz="4" w:space="0" w:color="auto"/>
            </w:tcBorders>
            <w:shd w:val="clear" w:color="auto" w:fill="FFFFFF"/>
            <w:vAlign w:val="center"/>
            <w:hideMark/>
          </w:tcPr>
          <w:p w:rsidR="00FD77A5" w:rsidRDefault="00FD77A5" w:rsidP="003332FD">
            <w:pP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A</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241E10"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15"/>
        </w:trPr>
        <w:tc>
          <w:tcPr>
            <w:tcW w:w="1081" w:type="dxa"/>
            <w:tcBorders>
              <w:top w:val="nil"/>
              <w:left w:val="single" w:sz="4" w:space="0" w:color="auto"/>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Natalie</w:t>
            </w:r>
          </w:p>
        </w:tc>
        <w:tc>
          <w:tcPr>
            <w:tcW w:w="1645"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Robinson</w:t>
            </w:r>
          </w:p>
        </w:tc>
        <w:tc>
          <w:tcPr>
            <w:tcW w:w="2891" w:type="dxa"/>
            <w:tcBorders>
              <w:top w:val="nil"/>
              <w:left w:val="nil"/>
              <w:bottom w:val="single" w:sz="4" w:space="0" w:color="auto"/>
              <w:right w:val="single" w:sz="4" w:space="0" w:color="auto"/>
            </w:tcBorders>
            <w:vAlign w:val="bottom"/>
            <w:hideMark/>
          </w:tcPr>
          <w:p w:rsidR="00FD77A5" w:rsidRDefault="00FD77A5" w:rsidP="003332FD">
            <w:pPr>
              <w:rPr>
                <w:color w:val="000000"/>
                <w:sz w:val="20"/>
              </w:rPr>
            </w:pPr>
            <w:r>
              <w:rPr>
                <w:color w:val="000000"/>
                <w:sz w:val="20"/>
              </w:rPr>
              <w:t>Exec. Admin. Asst. to the GC Dean</w:t>
            </w:r>
          </w:p>
        </w:tc>
        <w:tc>
          <w:tcPr>
            <w:tcW w:w="572" w:type="dxa"/>
            <w:tcBorders>
              <w:top w:val="nil"/>
              <w:left w:val="nil"/>
              <w:bottom w:val="single" w:sz="4" w:space="0" w:color="auto"/>
              <w:right w:val="single" w:sz="4" w:space="0" w:color="auto"/>
            </w:tcBorders>
            <w:shd w:val="clear" w:color="auto" w:fill="FFFFFF"/>
            <w:vAlign w:val="center"/>
            <w:hideMark/>
          </w:tcPr>
          <w:p w:rsidR="00FD77A5" w:rsidRDefault="00FD77A5" w:rsidP="003332FD">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P</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761EA9" w:rsidP="003332FD">
            <w:pPr>
              <w:jc w:val="center"/>
              <w:rPr>
                <w:rFonts w:asciiTheme="minorHAnsi" w:hAnsiTheme="minorHAnsi"/>
                <w:color w:val="000000"/>
                <w:sz w:val="20"/>
              </w:rPr>
            </w:pPr>
            <w:r>
              <w:rPr>
                <w:rFonts w:asciiTheme="minorHAnsi" w:hAnsiTheme="minorHAnsi"/>
                <w:color w:val="000000"/>
                <w:sz w:val="20"/>
              </w:rPr>
              <w:t>P</w:t>
            </w:r>
          </w:p>
        </w:tc>
      </w:tr>
      <w:tr w:rsidR="00FD77A5" w:rsidTr="003332FD">
        <w:trPr>
          <w:trHeight w:val="300"/>
        </w:trPr>
        <w:tc>
          <w:tcPr>
            <w:tcW w:w="1081" w:type="dxa"/>
            <w:tcBorders>
              <w:top w:val="nil"/>
              <w:left w:val="single" w:sz="4" w:space="0" w:color="auto"/>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Samantha</w:t>
            </w:r>
          </w:p>
        </w:tc>
        <w:tc>
          <w:tcPr>
            <w:tcW w:w="1645" w:type="dxa"/>
            <w:tcBorders>
              <w:top w:val="nil"/>
              <w:left w:val="nil"/>
              <w:bottom w:val="single" w:sz="4" w:space="0" w:color="auto"/>
              <w:right w:val="single" w:sz="4" w:space="0" w:color="auto"/>
            </w:tcBorders>
            <w:shd w:val="clear" w:color="auto" w:fill="FFFFFF"/>
            <w:vAlign w:val="bottom"/>
            <w:hideMark/>
          </w:tcPr>
          <w:p w:rsidR="00FD77A5" w:rsidRDefault="00FD77A5" w:rsidP="003332FD">
            <w:pPr>
              <w:rPr>
                <w:color w:val="000000"/>
                <w:sz w:val="20"/>
              </w:rPr>
            </w:pPr>
            <w:r>
              <w:rPr>
                <w:color w:val="000000"/>
                <w:sz w:val="20"/>
              </w:rPr>
              <w:t>Hirschman</w:t>
            </w:r>
          </w:p>
        </w:tc>
        <w:tc>
          <w:tcPr>
            <w:tcW w:w="2891" w:type="dxa"/>
            <w:tcBorders>
              <w:top w:val="nil"/>
              <w:left w:val="nil"/>
              <w:bottom w:val="single" w:sz="4" w:space="0" w:color="auto"/>
              <w:right w:val="single" w:sz="4" w:space="0" w:color="auto"/>
            </w:tcBorders>
            <w:vAlign w:val="bottom"/>
            <w:hideMark/>
          </w:tcPr>
          <w:p w:rsidR="00FD77A5" w:rsidRDefault="00FD77A5" w:rsidP="003332FD">
            <w:pPr>
              <w:rPr>
                <w:color w:val="000000"/>
                <w:sz w:val="20"/>
              </w:rPr>
            </w:pPr>
            <w:r>
              <w:rPr>
                <w:color w:val="000000"/>
                <w:sz w:val="20"/>
              </w:rPr>
              <w:t>Student Services Specialist</w:t>
            </w:r>
          </w:p>
        </w:tc>
        <w:tc>
          <w:tcPr>
            <w:tcW w:w="572" w:type="dxa"/>
            <w:tcBorders>
              <w:top w:val="nil"/>
              <w:left w:val="nil"/>
              <w:bottom w:val="single" w:sz="4" w:space="0" w:color="auto"/>
              <w:right w:val="single" w:sz="4" w:space="0" w:color="auto"/>
            </w:tcBorders>
            <w:shd w:val="clear" w:color="auto" w:fill="FFFFFF"/>
            <w:vAlign w:val="center"/>
            <w:hideMark/>
          </w:tcPr>
          <w:p w:rsidR="00FD77A5" w:rsidRDefault="00FD77A5" w:rsidP="003332FD">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hideMark/>
          </w:tcPr>
          <w:p w:rsidR="00FD77A5" w:rsidRDefault="00FD77A5" w:rsidP="003332FD">
            <w:pPr>
              <w:jc w:val="center"/>
              <w:rPr>
                <w:color w:val="000000"/>
                <w:sz w:val="20"/>
              </w:rPr>
            </w:pPr>
            <w:r>
              <w:rPr>
                <w:color w:val="000000"/>
                <w:sz w:val="20"/>
              </w:rPr>
              <w:t>N/A</w:t>
            </w:r>
          </w:p>
        </w:tc>
        <w:tc>
          <w:tcPr>
            <w:tcW w:w="571" w:type="dxa"/>
            <w:tcBorders>
              <w:top w:val="nil"/>
              <w:left w:val="nil"/>
              <w:bottom w:val="single" w:sz="4" w:space="0" w:color="auto"/>
              <w:right w:val="single" w:sz="4" w:space="0" w:color="auto"/>
            </w:tcBorders>
            <w:noWrap/>
            <w:vAlign w:val="center"/>
            <w:hideMark/>
          </w:tcPr>
          <w:p w:rsidR="00FD77A5" w:rsidRDefault="00FD77A5" w:rsidP="003332FD">
            <w:r>
              <w:t>N/A</w:t>
            </w:r>
          </w:p>
        </w:tc>
        <w:tc>
          <w:tcPr>
            <w:tcW w:w="584"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N/A</w:t>
            </w:r>
          </w:p>
        </w:tc>
        <w:tc>
          <w:tcPr>
            <w:tcW w:w="516" w:type="dxa"/>
            <w:tcBorders>
              <w:top w:val="nil"/>
              <w:left w:val="nil"/>
              <w:bottom w:val="single" w:sz="4" w:space="0" w:color="auto"/>
              <w:right w:val="single" w:sz="4" w:space="0" w:color="auto"/>
            </w:tcBorders>
            <w:noWrap/>
            <w:vAlign w:val="center"/>
            <w:hideMark/>
          </w:tcPr>
          <w:p w:rsidR="00FD77A5" w:rsidRDefault="00FD77A5" w:rsidP="003332FD">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rsidR="00FD77A5" w:rsidRDefault="00FD77A5" w:rsidP="003332FD">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rsidR="00FD77A5" w:rsidRDefault="00761EA9" w:rsidP="003332FD">
            <w:pPr>
              <w:jc w:val="center"/>
              <w:rPr>
                <w:rFonts w:asciiTheme="minorHAnsi" w:hAnsiTheme="minorHAnsi"/>
                <w:color w:val="000000"/>
                <w:sz w:val="20"/>
              </w:rPr>
            </w:pPr>
            <w:r>
              <w:rPr>
                <w:rFonts w:asciiTheme="minorHAnsi" w:hAnsiTheme="minorHAnsi"/>
                <w:color w:val="000000"/>
                <w:sz w:val="20"/>
              </w:rPr>
              <w:t>P</w:t>
            </w:r>
          </w:p>
        </w:tc>
      </w:tr>
    </w:tbl>
    <w:p w:rsidR="00FD77A5" w:rsidRDefault="00FD77A5"/>
    <w:sectPr w:rsidR="00FD77A5">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5"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6"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1"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4"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17"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18"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4"/>
  </w:num>
  <w:num w:numId="3">
    <w:abstractNumId w:val="5"/>
  </w:num>
  <w:num w:numId="4">
    <w:abstractNumId w:val="17"/>
  </w:num>
  <w:num w:numId="5">
    <w:abstractNumId w:val="0"/>
  </w:num>
  <w:num w:numId="6">
    <w:abstractNumId w:val="16"/>
  </w:num>
  <w:num w:numId="7">
    <w:abstractNumId w:val="13"/>
  </w:num>
  <w:num w:numId="8">
    <w:abstractNumId w:val="9"/>
  </w:num>
  <w:num w:numId="9">
    <w:abstractNumId w:val="6"/>
  </w:num>
  <w:num w:numId="10">
    <w:abstractNumId w:val="1"/>
  </w:num>
  <w:num w:numId="11">
    <w:abstractNumId w:val="12"/>
  </w:num>
  <w:num w:numId="12">
    <w:abstractNumId w:val="8"/>
  </w:num>
  <w:num w:numId="13">
    <w:abstractNumId w:val="7"/>
  </w:num>
  <w:num w:numId="14">
    <w:abstractNumId w:val="2"/>
  </w:num>
  <w:num w:numId="15">
    <w:abstractNumId w:val="14"/>
  </w:num>
  <w:num w:numId="16">
    <w:abstractNumId w:val="15"/>
  </w:num>
  <w:num w:numId="17">
    <w:abstractNumId w:val="11"/>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9C"/>
    <w:rsid w:val="00042052"/>
    <w:rsid w:val="00044AE8"/>
    <w:rsid w:val="00050F7F"/>
    <w:rsid w:val="00062BEE"/>
    <w:rsid w:val="000A339C"/>
    <w:rsid w:val="000C51FA"/>
    <w:rsid w:val="000E04BE"/>
    <w:rsid w:val="001541FB"/>
    <w:rsid w:val="001715C7"/>
    <w:rsid w:val="001F3F44"/>
    <w:rsid w:val="0021153C"/>
    <w:rsid w:val="0021595B"/>
    <w:rsid w:val="00241E10"/>
    <w:rsid w:val="002423D4"/>
    <w:rsid w:val="002536C7"/>
    <w:rsid w:val="00255A3F"/>
    <w:rsid w:val="0026550D"/>
    <w:rsid w:val="002B2D43"/>
    <w:rsid w:val="002E2BA3"/>
    <w:rsid w:val="002F74B7"/>
    <w:rsid w:val="00330D3E"/>
    <w:rsid w:val="004357B6"/>
    <w:rsid w:val="0044529C"/>
    <w:rsid w:val="004546B8"/>
    <w:rsid w:val="004616A5"/>
    <w:rsid w:val="004A0EC5"/>
    <w:rsid w:val="004C6C41"/>
    <w:rsid w:val="004E71FD"/>
    <w:rsid w:val="004F72B7"/>
    <w:rsid w:val="00547A2E"/>
    <w:rsid w:val="005F6FC6"/>
    <w:rsid w:val="006027DF"/>
    <w:rsid w:val="00682D30"/>
    <w:rsid w:val="006832DC"/>
    <w:rsid w:val="0069210E"/>
    <w:rsid w:val="00697908"/>
    <w:rsid w:val="006A5624"/>
    <w:rsid w:val="006C6FA2"/>
    <w:rsid w:val="006E3401"/>
    <w:rsid w:val="00757A99"/>
    <w:rsid w:val="007618F8"/>
    <w:rsid w:val="00761EA9"/>
    <w:rsid w:val="007B1DED"/>
    <w:rsid w:val="007C17FE"/>
    <w:rsid w:val="00822BE2"/>
    <w:rsid w:val="008535B7"/>
    <w:rsid w:val="00855273"/>
    <w:rsid w:val="00866394"/>
    <w:rsid w:val="00873530"/>
    <w:rsid w:val="00896293"/>
    <w:rsid w:val="009130B0"/>
    <w:rsid w:val="0094002B"/>
    <w:rsid w:val="0096714F"/>
    <w:rsid w:val="009B03AE"/>
    <w:rsid w:val="009D31DE"/>
    <w:rsid w:val="009D429A"/>
    <w:rsid w:val="009D4AD6"/>
    <w:rsid w:val="00A9764B"/>
    <w:rsid w:val="00AB1499"/>
    <w:rsid w:val="00AC480A"/>
    <w:rsid w:val="00B16F81"/>
    <w:rsid w:val="00B33322"/>
    <w:rsid w:val="00B5529C"/>
    <w:rsid w:val="00B84432"/>
    <w:rsid w:val="00B930DE"/>
    <w:rsid w:val="00B95BFE"/>
    <w:rsid w:val="00BA7CCD"/>
    <w:rsid w:val="00BF753A"/>
    <w:rsid w:val="00C24093"/>
    <w:rsid w:val="00C82261"/>
    <w:rsid w:val="00CB3A74"/>
    <w:rsid w:val="00D340D9"/>
    <w:rsid w:val="00D732B0"/>
    <w:rsid w:val="00DE306E"/>
    <w:rsid w:val="00E01E74"/>
    <w:rsid w:val="00E278E3"/>
    <w:rsid w:val="00E33773"/>
    <w:rsid w:val="00E51F39"/>
    <w:rsid w:val="00E95040"/>
    <w:rsid w:val="00EA29CC"/>
    <w:rsid w:val="00EA4CE4"/>
    <w:rsid w:val="00FD77A5"/>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FE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d-council.iastate.edu/sites/default/files/2020-2021/April%202021/Master%20of%20Entrepreneurship%2C%20votes%20updated%20March%202021_Form%20A.docx" TargetMode="External"/><Relationship Id="rId13" Type="http://schemas.openxmlformats.org/officeDocument/2006/relationships/hyperlink" Target="https://drive.google.com/file/d/1hScs2mAFmYf-wkj5xRYhSdM0CagTqxyz/view?usp=sharing" TargetMode="External"/><Relationship Id="rId3" Type="http://schemas.openxmlformats.org/officeDocument/2006/relationships/styles" Target="styles.xml"/><Relationship Id="rId7" Type="http://schemas.openxmlformats.org/officeDocument/2006/relationships/hyperlink" Target="https://nextcatalog.registrar.iastate.edu/courseadminx/?key=2280" TargetMode="External"/><Relationship Id="rId12" Type="http://schemas.openxmlformats.org/officeDocument/2006/relationships/hyperlink" Target="https://drive.google.com/file/d/1KleOXOaVUSz6YTUkq_5XcOAFk6RCYIJm/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xtcatalog.registrar.iastate.edu/courseadminx/?key=2282" TargetMode="External"/><Relationship Id="rId11" Type="http://schemas.openxmlformats.org/officeDocument/2006/relationships/hyperlink" Target="https://docs.google.com/document/d/1VR_Jr3q2zBY0Rm7kM8kO17znygJn1L16Deng_nHCQZk/edit?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ad-council.iastate.edu/sites/default/files/2020-2021/March%202021/Appendix%20C%20Graduate%20Certificate%20Programs_SMR.docx" TargetMode="External"/><Relationship Id="rId4" Type="http://schemas.openxmlformats.org/officeDocument/2006/relationships/settings" Target="settings.xml"/><Relationship Id="rId9" Type="http://schemas.openxmlformats.org/officeDocument/2006/relationships/hyperlink" Target="https://www.grad-council.iastate.edu/sites/default/files/2020-2021/April%202021/CDEV_Form_A_Voting_For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F03C-52D9-4B31-9A68-0021EC9E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13</cp:revision>
  <dcterms:created xsi:type="dcterms:W3CDTF">2021-04-21T20:44:00Z</dcterms:created>
  <dcterms:modified xsi:type="dcterms:W3CDTF">2021-04-26T20:36:00Z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