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5FA8FB6B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6A22B9">
        <w:t>MINUTES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5EEACCD7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150F7A">
              <w:rPr>
                <w:rFonts w:asciiTheme="minorHAnsi" w:hAnsiTheme="minorHAnsi" w:cstheme="minorHAnsi"/>
              </w:rPr>
              <w:t>February 16</w:t>
            </w:r>
            <w:r w:rsidR="00061177" w:rsidRPr="00150F7A">
              <w:rPr>
                <w:rFonts w:asciiTheme="minorHAnsi" w:hAnsiTheme="minorHAnsi" w:cstheme="minorHAnsi"/>
              </w:rPr>
              <w:t>, 2022</w:t>
            </w:r>
          </w:p>
          <w:p w14:paraId="0FD036EB" w14:textId="77777777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proofErr w:type="spellStart"/>
            <w:r w:rsidR="006A5624" w:rsidRPr="00150F7A">
              <w:rPr>
                <w:rFonts w:asciiTheme="minorHAnsi" w:hAnsiTheme="minorHAnsi" w:cstheme="minorHAnsi"/>
              </w:rPr>
              <w:t>Webex</w:t>
            </w:r>
            <w:proofErr w:type="spellEnd"/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150F7A">
              <w:rPr>
                <w:rFonts w:asciiTheme="minorHAnsi" w:hAnsiTheme="minorHAnsi" w:cstheme="minorHAnsi"/>
              </w:rPr>
              <w:t>Dean Adams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3A3D73C" w14:textId="7DEF3035" w:rsidR="00A22DE9" w:rsidRPr="00150F7A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77777777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150F7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26F0A91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7994BA36" w14:textId="04031994" w:rsidR="009D4184" w:rsidRDefault="009D4184" w:rsidP="009D4184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admissions season. Apps up over the year before.</w:t>
            </w:r>
          </w:p>
          <w:p w14:paraId="05F8E982" w14:textId="5BA9A052" w:rsidR="00AA7CC2" w:rsidRDefault="00AA7CC2" w:rsidP="009D4184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Master’s more than Ph.D., no GRE. </w:t>
            </w:r>
          </w:p>
          <w:p w14:paraId="15784A13" w14:textId="06A6B7CF" w:rsidR="00AA7CC2" w:rsidRPr="00150F7A" w:rsidRDefault="00AA7CC2" w:rsidP="009D4184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GPSS research conference</w:t>
            </w:r>
            <w:r w:rsidR="00906BA5">
              <w:rPr>
                <w:rFonts w:asciiTheme="minorHAnsi" w:eastAsia="Times New Roman" w:hAnsiTheme="minorHAnsi" w:cstheme="minorHAnsi"/>
                <w:color w:val="000000"/>
              </w:rPr>
              <w:t xml:space="preserve"> coming up.</w:t>
            </w:r>
          </w:p>
          <w:p w14:paraId="56A7D587" w14:textId="77777777" w:rsidR="0021595B" w:rsidRPr="00150F7A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66549B4F" w:rsidR="002630E4" w:rsidRPr="00634D04" w:rsidRDefault="002B3B9A" w:rsidP="00634D04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proofErr w:type="spellStart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Karas</w:t>
            </w:r>
            <w:proofErr w:type="spellEnd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Zaffarano</w:t>
            </w:r>
            <w:proofErr w:type="spellEnd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and Margaret Ellen White committees</w:t>
            </w:r>
          </w:p>
        </w:tc>
        <w:tc>
          <w:tcPr>
            <w:tcW w:w="2340" w:type="dxa"/>
          </w:tcPr>
          <w:p w14:paraId="724AA15C" w14:textId="38F7B7A3" w:rsidR="0044529C" w:rsidRPr="00150F7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150F7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6CAED1BE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February 16,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3D52226A" w:rsidR="00E66093" w:rsidRPr="00150F7A" w:rsidRDefault="007A09CB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150F7A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January 19,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7777777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2800FC9B" w14:textId="77777777" w:rsidR="00324583" w:rsidRPr="00150F7A" w:rsidRDefault="007A09C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D97EF1" w:rsidRPr="00150F7A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Remove Areas of Specialization in the School of Education</w:t>
              </w:r>
            </w:hyperlink>
          </w:p>
          <w:p w14:paraId="5628DFDD" w14:textId="5B9D656F" w:rsidR="00D97EF1" w:rsidRPr="00AA7CC2" w:rsidRDefault="007A09C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hyperlink r:id="rId8" w:history="1"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Concurrent BS Technical Communication/MA Rhetoric,</w:t>
              </w:r>
              <w:r w:rsidR="00AD5855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 xml:space="preserve"> </w:t>
              </w:r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Composition,</w:t>
              </w:r>
              <w:r w:rsidR="00AD5855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 xml:space="preserve"> </w:t>
              </w:r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and Professional Communication Proposal</w:t>
              </w:r>
            </w:hyperlink>
          </w:p>
          <w:p w14:paraId="0AEAEE8F" w14:textId="683DE9BD" w:rsidR="00AA7CC2" w:rsidRPr="00DC20BA" w:rsidRDefault="00AA7CC2" w:rsidP="00AA7CC2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DC20BA">
              <w:rPr>
                <w:rStyle w:val="Hyperlink"/>
                <w:rFonts w:ascii="Helvetica" w:hAnsi="Helvetica" w:cs="Helvetica"/>
                <w:color w:val="auto"/>
                <w:u w:val="none"/>
                <w:shd w:val="clear" w:color="auto" w:fill="FFFFFF"/>
              </w:rPr>
              <w:t>All in favor</w:t>
            </w:r>
            <w:r w:rsidR="00DC20BA" w:rsidRPr="00DC20BA">
              <w:rPr>
                <w:rStyle w:val="Hyperlink"/>
                <w:rFonts w:ascii="Helvetica" w:hAnsi="Helvetica" w:cs="Helvetica"/>
                <w:color w:val="auto"/>
                <w:u w:val="none"/>
                <w:shd w:val="clear" w:color="auto" w:fill="FFFFFF"/>
              </w:rPr>
              <w:t xml:space="preserve"> 14-0</w:t>
            </w:r>
          </w:p>
        </w:tc>
        <w:tc>
          <w:tcPr>
            <w:tcW w:w="2340" w:type="dxa"/>
          </w:tcPr>
          <w:p w14:paraId="71CEAD60" w14:textId="5AB75185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150F7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150F7A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9F418D5" w14:textId="0654DD86" w:rsidR="0037702D" w:rsidRPr="00AA7CC2" w:rsidRDefault="007A09CB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37702D" w:rsidRPr="00150F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Graduate tuition scholarship policy</w:t>
              </w:r>
            </w:hyperlink>
            <w:r w:rsidR="00B35EB2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 xml:space="preserve"> as it relates to terminal master’s degrees</w:t>
            </w:r>
            <w:r w:rsidR="0037702D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(</w:t>
            </w:r>
            <w:r w:rsidR="00F87EE9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McKilligan</w:t>
            </w:r>
            <w:r w:rsidR="00324583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update</w:t>
            </w:r>
            <w:r w:rsidR="0037702D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)</w:t>
            </w:r>
          </w:p>
          <w:p w14:paraId="5B894C35" w14:textId="64C7424A" w:rsidR="00AA7CC2" w:rsidRPr="00906BA5" w:rsidRDefault="005E3B7C" w:rsidP="00906BA5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McKilligan: 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T</w:t>
            </w:r>
            <w:r w:rsid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he </w:t>
            </w:r>
            <w:r w:rsidR="00AA7CC2" w:rsidRP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College of Design </w:t>
            </w:r>
            <w:r w:rsid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is </w:t>
            </w:r>
            <w:r w:rsidR="00AA7CC2" w:rsidRP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using </w:t>
            </w:r>
            <w:r w:rsid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a </w:t>
            </w:r>
            <w:r w:rsidR="00AA7CC2" w:rsidRP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model as if the</w:t>
            </w:r>
            <w:r w:rsid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ir master’s students</w:t>
            </w:r>
            <w:r w:rsidR="00AA7CC2" w:rsidRP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are Ph.D. students</w:t>
            </w:r>
            <w:r w:rsidR="00906BA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as far as tuition scholarship awards are concerned.</w:t>
            </w:r>
          </w:p>
          <w:p w14:paraId="65BE4CE4" w14:textId="6F0DF828" w:rsidR="002D0E66" w:rsidRPr="005E3B7C" w:rsidRDefault="005E3B7C" w:rsidP="005E3B7C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McKilligan: 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Terminal or non-terminal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master’s students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hired by another unit get 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their 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stipend from that unit, but tuition 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goes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to the home department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. Students are then in a home department sometimes without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consultation from the DOGE. 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Programs are encouraged to make admission and assistantship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decisions early on, 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and this can add an 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additional burden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. The College of Design, among others, does 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not always have the financial ability to assist</w:t>
            </w:r>
            <w:r w:rsidR="00AD5855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 student hired outside the college</w:t>
            </w:r>
            <w:r w:rsidR="00AA7CC2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She learned, however, that while the student’s h</w:t>
            </w:r>
            <w:r w:rsidR="002D0E66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ome 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department is</w:t>
            </w:r>
            <w:r w:rsidR="002D0E66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responsible for tuition, 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the 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lastRenderedPageBreak/>
              <w:t>department</w:t>
            </w:r>
            <w:r w:rsidR="002D0E66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receives the tuition dollars for the student</w:t>
            </w:r>
            <w:r w:rsidR="00AD5855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from the hiring department, so </w:t>
            </w:r>
            <w:r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the </w:t>
            </w:r>
            <w:r w:rsidR="00AD5855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College of Design has</w:t>
            </w:r>
            <w:r w:rsidR="002D0E66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no further concern</w:t>
            </w:r>
            <w:r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</w:t>
            </w:r>
            <w:r w:rsidR="002D0E66" w:rsidRP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. </w:t>
            </w:r>
          </w:p>
          <w:p w14:paraId="01DE43CF" w14:textId="1706D8F3" w:rsidR="002D0E66" w:rsidRPr="002D0E66" w:rsidRDefault="002D0E66" w:rsidP="00AA7CC2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Graves: policy approved by Provost’s Council and not GC,</w:t>
            </w:r>
            <w:r w:rsid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so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even if this Council wanted to make a statement about what it thought it might believe is appropriate to change, </w:t>
            </w:r>
            <w:r w:rsid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those recommendations would need to go to the Provost’s Council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. Deans will be interested in this</w:t>
            </w:r>
            <w:r w:rsid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and will n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eed to be discussed there as well. Start with discussion at Provost’s Council.</w:t>
            </w:r>
          </w:p>
          <w:p w14:paraId="395572D0" w14:textId="0F6AFAAC" w:rsidR="002D0E66" w:rsidRPr="00150F7A" w:rsidRDefault="002D0E66" w:rsidP="00AA7CC2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Send back to Provost’s Council and </w:t>
            </w:r>
            <w:r w:rsid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Graves 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will work with </w:t>
            </w:r>
            <w:r w:rsidR="005E3B7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McKilligan on any recommendations.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</w:t>
            </w:r>
          </w:p>
          <w:p w14:paraId="10CD6B27" w14:textId="27A8C966" w:rsidR="001E3693" w:rsidRPr="00150F7A" w:rsidRDefault="007A09CB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443BE8" w:rsidRPr="00150F7A">
                <w:rPr>
                  <w:rStyle w:val="Hyperlink"/>
                  <w:rFonts w:asciiTheme="minorHAnsi" w:hAnsiTheme="minorHAnsi" w:cstheme="minorHAnsi"/>
                </w:rPr>
                <w:t>Graduate Minors language proposal</w:t>
              </w:r>
            </w:hyperlink>
            <w:r w:rsidR="00443BE8" w:rsidRPr="00150F7A">
              <w:rPr>
                <w:rFonts w:asciiTheme="minorHAnsi" w:hAnsiTheme="minorHAnsi" w:cstheme="minorHAnsi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</w:rPr>
              <w:t>–</w:t>
            </w:r>
            <w:r w:rsidR="003730D9" w:rsidRPr="00150F7A">
              <w:rPr>
                <w:rFonts w:asciiTheme="minorHAnsi" w:hAnsiTheme="minorHAnsi" w:cstheme="minorHAnsi"/>
              </w:rPr>
              <w:t xml:space="preserve"> Survey</w:t>
            </w:r>
            <w:r w:rsidR="002B3B9A" w:rsidRPr="00150F7A">
              <w:rPr>
                <w:rFonts w:asciiTheme="minorHAnsi" w:hAnsiTheme="minorHAnsi" w:cstheme="minorHAnsi"/>
              </w:rPr>
              <w:t xml:space="preserve"> Results</w:t>
            </w:r>
            <w:r w:rsidR="005E3B7C">
              <w:rPr>
                <w:rFonts w:asciiTheme="minorHAnsi" w:hAnsiTheme="minorHAnsi" w:cstheme="minorHAnsi"/>
              </w:rPr>
              <w:t xml:space="preserve"> are incomplete, but we have a good start on collecting data needed to review the minor policy.</w:t>
            </w:r>
          </w:p>
          <w:p w14:paraId="5B19EC7F" w14:textId="02BA62E8" w:rsidR="00D65E08" w:rsidRPr="00A550E7" w:rsidRDefault="007A09CB" w:rsidP="00443BE8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hyperlink r:id="rId11" w:history="1">
              <w:r w:rsidR="0000082B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6.3.2 Graduate Courses Taken as an ISU Undergraduate</w:t>
              </w:r>
            </w:hyperlink>
            <w:r w:rsidR="0000082B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hyperlink r:id="rId12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1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hyperlink r:id="rId13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2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policy proposals</w:t>
            </w:r>
          </w:p>
          <w:p w14:paraId="4371211E" w14:textId="7BC3EAB7" w:rsidR="00A550E7" w:rsidRPr="00A550E7" w:rsidRDefault="00A550E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</w:t>
            </w:r>
            <w:r w:rsidR="005E3B7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n: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300- and 400-level for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at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UG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level are counted toward the graduate degree currently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In favor of option 2.</w:t>
            </w:r>
          </w:p>
          <w:p w14:paraId="082FF78C" w14:textId="39E383DA" w:rsidR="00A550E7" w:rsidRPr="00A550E7" w:rsidRDefault="00A550E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Freeman in favor of Option 1. Can still double count 300/400-level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up to six credits for concurrent students.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Being used as a recruitment too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l, then should encourage students to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declare concurrency. Option 2: Instead of specifying details, undergraduate courses taken 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can be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approved by program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meet academic requirements, but not used on the POSC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653DA3D6" w14:textId="253F4ED4" w:rsidR="00A550E7" w:rsidRPr="00A550E7" w:rsidRDefault="00A550E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Weinstein: Option 2 more straightforward when it goes up to the GC and sorted in the GC. With approval of POS, seems to take care of Chen’s concerns. Option 2 less likely to cause problems and easiest to administer. </w:t>
            </w:r>
          </w:p>
          <w:p w14:paraId="08BFEE44" w14:textId="4E4A4EA6" w:rsidR="00A550E7" w:rsidRPr="00A550E7" w:rsidRDefault="00A550E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Freeman: Still limiting them to 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six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undergraduate credits. How does 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Option 2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extend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ability to count credits</w:t>
            </w:r>
            <w:r w:rsidR="00D434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  <w:p w14:paraId="268564C1" w14:textId="3572CE0C" w:rsidR="00A550E7" w:rsidRPr="00970DA7" w:rsidRDefault="00A550E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Haddad: Two policies that exist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th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ose two policies sufficient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have UG credits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that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students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need?</w:t>
            </w:r>
            <w:r w:rsidR="00970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9761FFF" w14:textId="39040DC3" w:rsidR="00970DA7" w:rsidRPr="00970DA7" w:rsidRDefault="00970DA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Chen: cause problems because of the way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their programs have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been advertised.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If UG courses are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not allowed,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it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will make their programs take longer. </w:t>
            </w:r>
          </w:p>
          <w:p w14:paraId="41D4421D" w14:textId="0C699B6A" w:rsidR="00970DA7" w:rsidRPr="00970DA7" w:rsidRDefault="00970DA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Graves: Max of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six credits. Would the Council be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willing to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allow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 out of 30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credits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for concurrent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students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? Why do these credits have to be taken at ISU?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This could open us up to 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ccept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ing undergraduate credits taken as an undergraduate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from a peer or better institution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a POSC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Wondering if E </w:t>
            </w:r>
            <w:proofErr w:type="spellStart"/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proofErr w:type="spellEnd"/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has 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ata from other universities with an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program; what would they allow for their undergraduates for a graduate degree?</w:t>
            </w:r>
          </w:p>
          <w:p w14:paraId="329D3A23" w14:textId="3F4512BB" w:rsidR="00970DA7" w:rsidRPr="00150F7A" w:rsidRDefault="00970DA7" w:rsidP="00A550E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Haddad: other policies connecting to this, put them all together. Robinson and Haddad will compile policies and work on this. </w:t>
            </w:r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Chen will also provide the E </w:t>
            </w:r>
            <w:proofErr w:type="spellStart"/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proofErr w:type="spellEnd"/>
            <w:r w:rsidR="005C3E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perspective. </w:t>
            </w:r>
          </w:p>
          <w:p w14:paraId="0608BAE6" w14:textId="5C94FF7B" w:rsidR="00443BE8" w:rsidRPr="00150F7A" w:rsidRDefault="00443BE8" w:rsidP="00443BE8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F45AC7" w14:textId="27835EC7" w:rsidR="0037702D" w:rsidRPr="00150F7A" w:rsidRDefault="00306754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hAnsiTheme="minorHAnsi" w:cstheme="minorHAnsi"/>
              </w:rPr>
              <w:lastRenderedPageBreak/>
              <w:t>McKilligan</w:t>
            </w:r>
            <w:r w:rsidR="003233D5" w:rsidRPr="00150F7A">
              <w:rPr>
                <w:rFonts w:asciiTheme="minorHAnsi" w:hAnsiTheme="minorHAnsi" w:cstheme="minorHAnsi"/>
              </w:rPr>
              <w:t xml:space="preserve">, </w:t>
            </w:r>
            <w:r w:rsidR="00324583" w:rsidRPr="00150F7A">
              <w:rPr>
                <w:rFonts w:asciiTheme="minorHAnsi" w:hAnsiTheme="minorHAnsi" w:cstheme="minorHAnsi"/>
              </w:rPr>
              <w:t>Robinson</w:t>
            </w:r>
            <w:r w:rsidR="0037702D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44C8C6C2" w14:textId="294B471D" w:rsidR="00061177" w:rsidRPr="00970DA7" w:rsidRDefault="00061177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Grad Support back up</w:t>
            </w:r>
            <w:r w:rsidR="00A22DE9"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  <w:p w14:paraId="47F3E0D4" w14:textId="23A5B364" w:rsidR="00970DA7" w:rsidRPr="00137719" w:rsidRDefault="00970DA7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EEB: share a program coordinator</w:t>
            </w:r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among multiple interdepartmental programs. When that person is on vacation or otherwise out of the office, there is no back up to complete 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required paperwork</w:t>
            </w:r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. Etc. in their absence. </w:t>
            </w:r>
          </w:p>
          <w:p w14:paraId="54483AD7" w14:textId="3FF33DB5" w:rsidR="00137719" w:rsidRPr="00137719" w:rsidRDefault="00137719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Hist</w:t>
            </w:r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ory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and </w:t>
            </w:r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Political Science are in the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same situation. </w:t>
            </w:r>
            <w:proofErr w:type="gramStart"/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.g.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Carla Harris could do Lynette Edsall’s work when she is out</w:t>
            </w:r>
            <w:r w:rsidR="005C3E3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if there were a graduate support network.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  <w:p w14:paraId="7D7CF2FE" w14:textId="33CCDFC7" w:rsidR="00137719" w:rsidRPr="00137719" w:rsidRDefault="00137719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t xml:space="preserve">Lack of access of other program coordinators to help when someone is sick, out of town, etc. </w:t>
            </w:r>
          </w:p>
          <w:p w14:paraId="55B1B739" w14:textId="04697CA8" w:rsidR="00137719" w:rsidRPr="00137719" w:rsidRDefault="00137719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Suggestions that GC admin could create a Graduate Team for all program coordinators to be part of and give them access to help them out.</w:t>
            </w:r>
          </w:p>
          <w:p w14:paraId="5DDFFC64" w14:textId="163BFFB6" w:rsidR="00137719" w:rsidRPr="00137719" w:rsidRDefault="00137719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Hirschman: you can delegate to someone who can’t </w:t>
            </w: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actually do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the work</w:t>
            </w:r>
            <w:r w:rsidR="00F540F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in </w:t>
            </w:r>
            <w:proofErr w:type="spellStart"/>
            <w:r w:rsidR="00F540F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WorkDay</w:t>
            </w:r>
            <w:proofErr w:type="spellEnd"/>
            <w:r w:rsidR="00F540F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for things like assistantships, so that might be a problem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 Grad staff aren’t centralized</w:t>
            </w:r>
            <w:r w:rsidR="00F540F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 and there is i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nconsistency in the processes. </w:t>
            </w:r>
          </w:p>
          <w:p w14:paraId="557FBBD8" w14:textId="368234AC" w:rsidR="0007049E" w:rsidRPr="00F540F7" w:rsidRDefault="00F540F7" w:rsidP="00F540F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Example of work needs: </w:t>
            </w:r>
            <w:r w:rsidR="001377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Getting an LOI pushed through.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There is e</w:t>
            </w:r>
            <w:r w:rsidR="0007049E" w:rsidRPr="00F540F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nough shared knowledge within the grad programs that they could all do it.</w:t>
            </w:r>
          </w:p>
          <w:p w14:paraId="1A2E0F9B" w14:textId="09B39587" w:rsidR="0007049E" w:rsidRPr="0007049E" w:rsidRDefault="0007049E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Lack of clarity at department and staff level creating part of this problem. </w:t>
            </w:r>
          </w:p>
          <w:p w14:paraId="497C01CE" w14:textId="38C84CB3" w:rsidR="0007049E" w:rsidRPr="00150F7A" w:rsidRDefault="0007049E" w:rsidP="00970DA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Adams and Hirschman </w:t>
            </w:r>
            <w:r w:rsidR="004922E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 discuss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what can be done. </w:t>
            </w:r>
          </w:p>
          <w:p w14:paraId="5C53744E" w14:textId="5AE3BD2C" w:rsidR="0037151F" w:rsidRPr="0007049E" w:rsidRDefault="007A09CB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hyperlink r:id="rId14" w:history="1">
              <w:r w:rsidR="0037151F" w:rsidRPr="00150F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Injuries on campus</w:t>
              </w:r>
            </w:hyperlink>
          </w:p>
          <w:p w14:paraId="6DDD2C0E" w14:textId="590D8C3B" w:rsidR="0007049E" w:rsidRPr="00BA0E1C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</w:rPr>
            </w:pP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>Language used within grad program handbooks, maybe not in GC Handbook</w:t>
            </w:r>
          </w:p>
          <w:p w14:paraId="77C9AA91" w14:textId="7BDA1D1D" w:rsidR="0007049E" w:rsidRPr="00BA0E1C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</w:rPr>
            </w:pP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Latest draft; received suggestions from Dean for improvement. Latest update that an </w:t>
            </w:r>
            <w:r w:rsidR="00A8181B">
              <w:rPr>
                <w:rStyle w:val="Hyperlink"/>
                <w:color w:val="auto"/>
                <w:u w:val="none"/>
                <w:shd w:val="clear" w:color="auto" w:fill="FFFFFF"/>
              </w:rPr>
              <w:t>appointment</w:t>
            </w: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with UHR </w:t>
            </w:r>
            <w:r w:rsidR="00A8181B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is </w:t>
            </w: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coming up. </w:t>
            </w:r>
          </w:p>
          <w:p w14:paraId="7C72D818" w14:textId="6A6C95C9" w:rsidR="0007049E" w:rsidRPr="00BA0E1C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>By next month, Graves may have an updated version of this ready. Template language that is useful, specific,</w:t>
            </w:r>
            <w:r w:rsidR="00A8181B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&amp;</w:t>
            </w:r>
            <w:r w:rsidRPr="00BA0E1C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helpful. </w:t>
            </w:r>
          </w:p>
          <w:p w14:paraId="0B2926E3" w14:textId="24B64DE4" w:rsidR="003730D9" w:rsidRPr="0007049E" w:rsidRDefault="007A09CB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5" w:anchor="4.3.2" w:history="1">
              <w:r w:rsidR="003730D9" w:rsidRPr="00150F7A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"Concurrent" degrees</w:t>
              </w:r>
            </w:hyperlink>
            <w:r w:rsidR="0000082B" w:rsidRPr="00150F7A">
              <w:rPr>
                <w:rStyle w:val="Hyperlink"/>
                <w:rFonts w:asciiTheme="minorHAnsi" w:hAnsiTheme="minorHAnsi" w:cstheme="minorHAnsi"/>
                <w:color w:val="CC0000"/>
                <w:shd w:val="clear" w:color="auto" w:fill="FFFFFF"/>
              </w:rPr>
              <w:t xml:space="preserve"> (WD)</w:t>
            </w:r>
            <w:r w:rsidR="003730D9"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  <w:p w14:paraId="00D6DC1A" w14:textId="52C59A5D" w:rsidR="0007049E" w:rsidRPr="0007049E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ISU folks looking for common language</w:t>
            </w:r>
            <w:r w:rsidR="00A818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Two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or more academic levels at the same time. For UG/G and G/P</w:t>
            </w:r>
            <w:r w:rsidR="003D230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rofessional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we call it concurrent. </w:t>
            </w:r>
          </w:p>
          <w:p w14:paraId="610DA8D8" w14:textId="3C036E39" w:rsidR="0007049E" w:rsidRPr="0007049E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Dual enrollment terminology related to dual-listed courses. More in line with peer institutions. Freeman and Adams like </w:t>
            </w:r>
            <w:proofErr w:type="gram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dual-enrollment</w:t>
            </w:r>
            <w:proofErr w:type="gram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for consistency. </w:t>
            </w:r>
          </w:p>
          <w:p w14:paraId="5D31137C" w14:textId="77777777" w:rsidR="0007049E" w:rsidRPr="001609B1" w:rsidRDefault="0007049E" w:rsidP="0007049E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8AB0361" w14:textId="7DBB89C5" w:rsidR="001609B1" w:rsidRPr="00E6535A" w:rsidRDefault="001609B1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Primary and secondary major professor </w:t>
            </w:r>
            <w:proofErr w:type="gramStart"/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role?-</w:t>
            </w:r>
            <w:proofErr w:type="gramEnd"/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Ch.4.3.1: Co-Major Degree Program</w:t>
            </w:r>
          </w:p>
          <w:p w14:paraId="1EA13C4F" w14:textId="750124F5" w:rsidR="00E6535A" w:rsidRPr="00E6535A" w:rsidRDefault="00E6535A" w:rsidP="00E6535A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Nuanced definitions: co-major professors of equal stature in some programs, in others, they may not be that way</w:t>
            </w:r>
          </w:p>
          <w:p w14:paraId="47F3D061" w14:textId="2DEB2F1E" w:rsidR="00E6535A" w:rsidRPr="00E6535A" w:rsidRDefault="00E6535A" w:rsidP="00E6535A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Freeman: considered co-major professors equal. </w:t>
            </w:r>
          </w:p>
          <w:p w14:paraId="327B6F2F" w14:textId="259D589D" w:rsidR="00E6535A" w:rsidRPr="001609B1" w:rsidRDefault="00E6535A" w:rsidP="00E6535A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Lonergan: equal stature as well. Run</w:t>
            </w:r>
            <w:r w:rsidR="00A8181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this concept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by DOGE group. </w:t>
            </w:r>
          </w:p>
          <w:p w14:paraId="3DF2D64D" w14:textId="20449A56" w:rsidR="00324583" w:rsidRPr="00150F7A" w:rsidRDefault="00324583" w:rsidP="00F306DF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28141B12" w14:textId="50A90B74" w:rsidR="004357B6" w:rsidRPr="00150F7A" w:rsidRDefault="00A22DE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lastRenderedPageBreak/>
              <w:t>Adams</w:t>
            </w:r>
            <w:r w:rsidR="0000082B" w:rsidRPr="00150F7A">
              <w:rPr>
                <w:rFonts w:asciiTheme="minorHAnsi" w:hAnsiTheme="minorHAnsi" w:cstheme="minorHAnsi"/>
              </w:rPr>
              <w:t>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150F7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77777777" w:rsidR="00DE306E" w:rsidRPr="00150F7A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00082B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734D66EC" w14:textId="7B726FE8" w:rsidR="006A22B9" w:rsidRDefault="006A22B9"/>
    <w:p w14:paraId="703C0101" w14:textId="48FF6897" w:rsidR="006A22B9" w:rsidRDefault="006A22B9"/>
    <w:p w14:paraId="095C51FC" w14:textId="35C1DDF4" w:rsidR="006A22B9" w:rsidRDefault="006A22B9"/>
    <w:p w14:paraId="746A5E4E" w14:textId="77777777" w:rsidR="006A22B9" w:rsidRDefault="006A22B9" w:rsidP="006A22B9"/>
    <w:tbl>
      <w:tblPr>
        <w:tblpPr w:leftFromText="180" w:rightFromText="180" w:vertAnchor="text" w:horzAnchor="margin" w:tblpXSpec="center" w:tblpY="-13164"/>
        <w:tblW w:w="12275" w:type="dxa"/>
        <w:tblLook w:val="04A0" w:firstRow="1" w:lastRow="0" w:firstColumn="1" w:lastColumn="0" w:noHBand="0" w:noVBand="1"/>
      </w:tblPr>
      <w:tblGrid>
        <w:gridCol w:w="1231"/>
        <w:gridCol w:w="1874"/>
        <w:gridCol w:w="3293"/>
        <w:gridCol w:w="651"/>
        <w:gridCol w:w="779"/>
        <w:gridCol w:w="650"/>
        <w:gridCol w:w="665"/>
        <w:gridCol w:w="587"/>
        <w:gridCol w:w="679"/>
        <w:gridCol w:w="622"/>
        <w:gridCol w:w="622"/>
        <w:gridCol w:w="622"/>
      </w:tblGrid>
      <w:tr w:rsidR="006A22B9" w14:paraId="544DA2B4" w14:textId="77777777" w:rsidTr="00A65B41">
        <w:trPr>
          <w:trHeight w:val="3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CDD9" w14:textId="77777777" w:rsidR="006A22B9" w:rsidRDefault="006A22B9" w:rsidP="00A65B4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5CCE2" w14:textId="77777777" w:rsidR="006A22B9" w:rsidRDefault="006A22B9" w:rsidP="00A65B4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1C5C8" w14:textId="77777777" w:rsidR="006A22B9" w:rsidRDefault="006A22B9" w:rsidP="00A65B4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D4EAB" w14:textId="77777777" w:rsidR="006A22B9" w:rsidRDefault="006A22B9" w:rsidP="00A65B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B4C3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70FB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4CB5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C1F4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D6D68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F85D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C980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F271" w14:textId="77777777" w:rsidR="006A22B9" w:rsidRDefault="006A22B9" w:rsidP="00A65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6A22B9" w14:paraId="2CC88697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C26F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FD8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2E4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F2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8E4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9F26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4EB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C17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D8750" w14:textId="7C619804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CFD06" w14:textId="496FA8C0" w:rsidR="006A22B9" w:rsidRDefault="00AA7CC2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BDC5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432A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16321947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18B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C1E1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CFEC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5BE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F46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AEB9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C0B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7916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596F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C253" w14:textId="7A14B6E7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E38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E28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3F2E315B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64EE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B169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6C4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8D26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E3B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9A9F1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6C2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DEE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5A84D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E07" w14:textId="3C2B71D1" w:rsidR="006A22B9" w:rsidRDefault="00F540F7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1F408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A74F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A2CD2A2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379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Chunhui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6DC9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732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B9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E76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81D6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D9F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4AFC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9017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B3D8E" w14:textId="3667B8EB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30F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B53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5D3D235D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52C9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E33A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0BC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884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AB6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A7EB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A9A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555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9C6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7665E" w14:textId="07B9B2C2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F0D45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0A3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57D2E7E2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2A7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Jae Hwa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84E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D58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43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684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AEAE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343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BDC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1640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7D14A" w14:textId="2F91DBF4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CED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CD9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6EE83845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BFD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574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12E4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A0A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8C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15E6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CD9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77DD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456D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50C04" w14:textId="442DEA42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C3F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D3572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5AC8AC02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9198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6F07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2E37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E98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33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1C2D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A59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6BD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8432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BDE2" w14:textId="0DFE10A1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6B47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7D6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C3BCE46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A45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33F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B1A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54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EE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3700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BC1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787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E4C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F8E3" w14:textId="616C2CC3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F375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8A4E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525BA755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36A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CE5B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4D8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FD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329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AF5E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661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678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E84B9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68446" w14:textId="3CEF7531" w:rsidR="006A22B9" w:rsidRDefault="00AA7CC2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4DD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2357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4D1475A7" w14:textId="77777777" w:rsidTr="00A65B41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42EB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FF7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C98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477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73D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1ADA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F5D6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8E80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989B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41388" w14:textId="66D0B785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262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15D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2139DCD6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6960" w14:textId="77777777" w:rsidR="006A22B9" w:rsidRDefault="006A22B9" w:rsidP="00A65B41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5C5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477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86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49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9BD5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FA9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663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4E3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C3B6C" w14:textId="76F35C7E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8018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D4E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2AB7DED5" w14:textId="77777777" w:rsidTr="00A65B41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C573" w14:textId="18F526E0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  <w:r w:rsidR="00827032">
              <w:rPr>
                <w:color w:val="000000"/>
                <w:sz w:val="20"/>
              </w:rPr>
              <w:t xml:space="preserve"> (Kathleen)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A01A" w14:textId="76D842F3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  <w:r w:rsidR="00827032">
              <w:rPr>
                <w:color w:val="000000"/>
                <w:sz w:val="20"/>
              </w:rPr>
              <w:t xml:space="preserve"> (Delate)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B85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87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B3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7655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543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00A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E84C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94B31" w14:textId="2EC59A46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82E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75C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3267ECDC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6A51" w14:textId="77777777" w:rsidR="006A22B9" w:rsidRDefault="006A22B9" w:rsidP="00A65B4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9692" w14:textId="77777777" w:rsidR="006A22B9" w:rsidRDefault="006A22B9" w:rsidP="00A65B4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D4E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10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AC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D574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8D7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15A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47D9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28A88" w14:textId="713034F2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4F3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83BD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4982F71D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8FDC" w14:textId="77777777" w:rsidR="006A22B9" w:rsidRDefault="006A22B9" w:rsidP="00A65B4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9BFE4" w14:textId="77777777" w:rsidR="006A22B9" w:rsidRDefault="006A22B9" w:rsidP="00A65B4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366EC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1E1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E3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B7EA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549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E53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A966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8B247" w14:textId="701D4AA5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24D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E84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1E10EFDB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4EFA43" w14:textId="77777777" w:rsidR="006A22B9" w:rsidRDefault="006A22B9" w:rsidP="00A65B41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E3B74E" w14:textId="77777777" w:rsidR="006A22B9" w:rsidRDefault="006A22B9" w:rsidP="00A65B41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FBF27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15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6D8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2ACA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513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750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730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69E66" w14:textId="3080CC7B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7437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2E8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7B7441A7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E581D" w14:textId="77777777" w:rsidR="006A22B9" w:rsidRDefault="006A22B9" w:rsidP="00A65B41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702D0" w14:textId="77777777" w:rsidR="006A22B9" w:rsidRDefault="006A22B9" w:rsidP="00A65B41">
            <w:pPr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3BAD4" w14:textId="77777777" w:rsidR="006A22B9" w:rsidRDefault="006A22B9" w:rsidP="00A65B41">
            <w:pPr>
              <w:rPr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4BF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A47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341D" w14:textId="77777777" w:rsidR="006A22B9" w:rsidRDefault="006A22B9" w:rsidP="00A65B4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1B2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2A4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6774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9B87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0AAF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E5E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55E495D3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079E2D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Stephanie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BFD96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Klein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4C4A25" w14:textId="77777777" w:rsidR="006A22B9" w:rsidRDefault="006A22B9" w:rsidP="00A65B4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416F" w14:textId="77777777" w:rsidR="006A22B9" w:rsidRDefault="006A22B9" w:rsidP="00A65B4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30EB" w14:textId="77777777" w:rsidR="006A22B9" w:rsidRDefault="006A22B9" w:rsidP="00A65B4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68F0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F703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D9B2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F6FF5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6F23B" w14:textId="09AFFE34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8E4F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547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170DF928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4A0C3" w14:textId="77777777" w:rsidR="006A22B9" w:rsidRDefault="006A22B9" w:rsidP="00A65B41">
            <w:pPr>
              <w:rPr>
                <w:sz w:val="20"/>
              </w:rPr>
            </w:pPr>
            <w:r>
              <w:rPr>
                <w:sz w:val="20"/>
              </w:rPr>
              <w:t xml:space="preserve">Katherine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81BE6" w14:textId="77777777" w:rsidR="006A22B9" w:rsidRDefault="006A22B9" w:rsidP="00A65B41">
            <w:pPr>
              <w:rPr>
                <w:sz w:val="20"/>
              </w:rPr>
            </w:pPr>
            <w:r>
              <w:rPr>
                <w:sz w:val="20"/>
              </w:rPr>
              <w:t>Geist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43363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0EE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AB1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C45B" w14:textId="77777777" w:rsidR="006A22B9" w:rsidRDefault="006A22B9" w:rsidP="00A65B41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7D50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BAE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59EC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861D4" w14:textId="3FB7CD35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C45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9AD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86A7E96" w14:textId="77777777" w:rsidTr="00A65B41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C3F4A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49F7F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7AC04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106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68C1" w14:textId="77777777" w:rsidR="006A22B9" w:rsidRDefault="006A22B9" w:rsidP="00A65B4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A16F" w14:textId="77777777" w:rsidR="006A22B9" w:rsidRDefault="006A22B9" w:rsidP="00A65B4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F9C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390E6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7FF9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6B0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35AF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902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3B14A98A" w14:textId="77777777" w:rsidTr="00A65B41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6FB3C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Chelsea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11638" w14:textId="77777777" w:rsidR="006A22B9" w:rsidRDefault="006A22B9" w:rsidP="00A65B4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Iennarella-Servantez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E5210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-- Biological &amp; Agricultural Sciences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031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28B8" w14:textId="77777777" w:rsidR="006A22B9" w:rsidRDefault="006A22B9" w:rsidP="00A65B4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059E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521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387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F2B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FEC2A" w14:textId="09484C90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E73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0327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2BCA6369" w14:textId="77777777" w:rsidTr="00A65B41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8D9B8" w14:textId="77777777" w:rsidR="006A22B9" w:rsidRDefault="006A22B9" w:rsidP="00A65B4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51F5E" w14:textId="77777777" w:rsidR="006A22B9" w:rsidRDefault="006A22B9" w:rsidP="00A65B4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1237B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E05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BF27" w14:textId="77777777" w:rsidR="006A22B9" w:rsidRDefault="006A22B9" w:rsidP="00A65B4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0891" w14:textId="77777777" w:rsidR="006A22B9" w:rsidRDefault="006A22B9" w:rsidP="00A65B41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94D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DB98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832F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9C14" w14:textId="35ADEFC7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7D62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1BC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2A6322A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48831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F9797F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6D1BC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CF8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F4D0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D049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831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06D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4F8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CB798" w14:textId="583150BE" w:rsidR="006A22B9" w:rsidRDefault="009C6F1B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10BF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30A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42ED3A7A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F3147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2373A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BD9306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16A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18A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B4A3" w14:textId="77777777" w:rsidR="006A22B9" w:rsidRDefault="006A22B9" w:rsidP="00A65B4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29A7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C656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EC707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461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AAA9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D6A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1ADA9480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93F8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37C6EA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6A57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E73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434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514BD" w14:textId="77777777" w:rsidR="006A22B9" w:rsidRDefault="006A22B9" w:rsidP="00A65B4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987B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8C81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09B7B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98CF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739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2093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A0A85A8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7FB7F5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11A75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0B5EC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FA26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4E5B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EEFE" w14:textId="77777777" w:rsidR="006A22B9" w:rsidRDefault="006A22B9" w:rsidP="00A65B41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B82E1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CE4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E39C8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8C25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1CC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57D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0A76ABEC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B62F4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FF4C5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E1982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7873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C70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CC62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7C9C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183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C713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F004C" w14:textId="58B02F55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56D9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AAC2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4B758052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E2F3D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56FAF9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E4B1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04A05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4F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D936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DB84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F03D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FB04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48CDD" w14:textId="6CD4795C" w:rsidR="006A22B9" w:rsidRDefault="002E58C8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E4E6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2851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6ED11F09" w14:textId="77777777" w:rsidTr="00A65B41">
        <w:trPr>
          <w:trHeight w:val="35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89BE8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12167B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489F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D0B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F07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11F8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D3A4E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6255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31FDC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A1D1D" w14:textId="218DD1A3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D020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5FB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A22B9" w14:paraId="39A704E7" w14:textId="77777777" w:rsidTr="00A65B41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A08C83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3B5B54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B61E9" w14:textId="77777777" w:rsidR="006A22B9" w:rsidRDefault="006A22B9" w:rsidP="00A65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 Services Specialist II,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EA8F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B4A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FB0B1" w14:textId="77777777" w:rsidR="006A22B9" w:rsidRDefault="006A22B9" w:rsidP="00A65B41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450D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D9E5" w14:textId="77777777" w:rsidR="006A22B9" w:rsidRDefault="006A22B9" w:rsidP="00A65B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D552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A8E4C" w14:textId="4F2D8D2D" w:rsidR="006A22B9" w:rsidRDefault="000B076A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B57A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E82E" w14:textId="77777777" w:rsidR="006A22B9" w:rsidRDefault="006A22B9" w:rsidP="00A65B4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212DC850" w14:textId="77777777" w:rsidR="006A22B9" w:rsidRDefault="006A22B9"/>
    <w:sectPr w:rsidR="006A22B9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049E"/>
    <w:rsid w:val="0007261A"/>
    <w:rsid w:val="000A339C"/>
    <w:rsid w:val="000B076A"/>
    <w:rsid w:val="000C7961"/>
    <w:rsid w:val="000D60FB"/>
    <w:rsid w:val="0010026A"/>
    <w:rsid w:val="00137719"/>
    <w:rsid w:val="00150F7A"/>
    <w:rsid w:val="001541FB"/>
    <w:rsid w:val="001609B1"/>
    <w:rsid w:val="001715C7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D0E66"/>
    <w:rsid w:val="002E2BA3"/>
    <w:rsid w:val="002E3A8F"/>
    <w:rsid w:val="002E58C8"/>
    <w:rsid w:val="002F74B7"/>
    <w:rsid w:val="00306754"/>
    <w:rsid w:val="003233D5"/>
    <w:rsid w:val="00324583"/>
    <w:rsid w:val="0037151F"/>
    <w:rsid w:val="003730D9"/>
    <w:rsid w:val="0037702D"/>
    <w:rsid w:val="003D2305"/>
    <w:rsid w:val="003E12C8"/>
    <w:rsid w:val="003F4982"/>
    <w:rsid w:val="00421499"/>
    <w:rsid w:val="004357B6"/>
    <w:rsid w:val="00440417"/>
    <w:rsid w:val="00443BE8"/>
    <w:rsid w:val="0044529C"/>
    <w:rsid w:val="004546B8"/>
    <w:rsid w:val="004616A5"/>
    <w:rsid w:val="004922EB"/>
    <w:rsid w:val="004C6C41"/>
    <w:rsid w:val="004D0763"/>
    <w:rsid w:val="004F72B7"/>
    <w:rsid w:val="0050200C"/>
    <w:rsid w:val="00544F15"/>
    <w:rsid w:val="00547A2E"/>
    <w:rsid w:val="005622BA"/>
    <w:rsid w:val="00580EAF"/>
    <w:rsid w:val="005A3043"/>
    <w:rsid w:val="005C3E38"/>
    <w:rsid w:val="005E3B7C"/>
    <w:rsid w:val="005F6FC6"/>
    <w:rsid w:val="00634D04"/>
    <w:rsid w:val="00650CAC"/>
    <w:rsid w:val="00682D30"/>
    <w:rsid w:val="006832DC"/>
    <w:rsid w:val="0069210E"/>
    <w:rsid w:val="00697908"/>
    <w:rsid w:val="006A22B9"/>
    <w:rsid w:val="006A5624"/>
    <w:rsid w:val="006C6FA2"/>
    <w:rsid w:val="006E3401"/>
    <w:rsid w:val="007618F8"/>
    <w:rsid w:val="007626C7"/>
    <w:rsid w:val="007A09CB"/>
    <w:rsid w:val="007B1DED"/>
    <w:rsid w:val="007C17FE"/>
    <w:rsid w:val="00822BE2"/>
    <w:rsid w:val="00827032"/>
    <w:rsid w:val="008535B7"/>
    <w:rsid w:val="00855273"/>
    <w:rsid w:val="0086785D"/>
    <w:rsid w:val="00873530"/>
    <w:rsid w:val="008950EC"/>
    <w:rsid w:val="008B2470"/>
    <w:rsid w:val="008F6E88"/>
    <w:rsid w:val="00906BA5"/>
    <w:rsid w:val="009130B0"/>
    <w:rsid w:val="0094002B"/>
    <w:rsid w:val="00964B44"/>
    <w:rsid w:val="0096714F"/>
    <w:rsid w:val="00970DA7"/>
    <w:rsid w:val="009B6E83"/>
    <w:rsid w:val="009C6F1B"/>
    <w:rsid w:val="009D3A9E"/>
    <w:rsid w:val="009D4184"/>
    <w:rsid w:val="009D429A"/>
    <w:rsid w:val="00A22DE9"/>
    <w:rsid w:val="00A5188B"/>
    <w:rsid w:val="00A550E7"/>
    <w:rsid w:val="00A74979"/>
    <w:rsid w:val="00A8181B"/>
    <w:rsid w:val="00A930AB"/>
    <w:rsid w:val="00A9764B"/>
    <w:rsid w:val="00AA7CC2"/>
    <w:rsid w:val="00AC480A"/>
    <w:rsid w:val="00AD5855"/>
    <w:rsid w:val="00B16F81"/>
    <w:rsid w:val="00B33322"/>
    <w:rsid w:val="00B34328"/>
    <w:rsid w:val="00B35EB2"/>
    <w:rsid w:val="00B44F2F"/>
    <w:rsid w:val="00B5529C"/>
    <w:rsid w:val="00B74F63"/>
    <w:rsid w:val="00B84432"/>
    <w:rsid w:val="00B87F32"/>
    <w:rsid w:val="00B95BFE"/>
    <w:rsid w:val="00BA0E1C"/>
    <w:rsid w:val="00BA540A"/>
    <w:rsid w:val="00BD1FD3"/>
    <w:rsid w:val="00C24093"/>
    <w:rsid w:val="00C82261"/>
    <w:rsid w:val="00C9568F"/>
    <w:rsid w:val="00D149D4"/>
    <w:rsid w:val="00D43426"/>
    <w:rsid w:val="00D57A3D"/>
    <w:rsid w:val="00D65E08"/>
    <w:rsid w:val="00D72C3D"/>
    <w:rsid w:val="00D73098"/>
    <w:rsid w:val="00D732B0"/>
    <w:rsid w:val="00D97EF1"/>
    <w:rsid w:val="00DB4C0D"/>
    <w:rsid w:val="00DC20BA"/>
    <w:rsid w:val="00DE306E"/>
    <w:rsid w:val="00DF46D5"/>
    <w:rsid w:val="00E01E74"/>
    <w:rsid w:val="00E33773"/>
    <w:rsid w:val="00E51F39"/>
    <w:rsid w:val="00E6535A"/>
    <w:rsid w:val="00E66093"/>
    <w:rsid w:val="00EA29CC"/>
    <w:rsid w:val="00EA4CE4"/>
    <w:rsid w:val="00F1487E"/>
    <w:rsid w:val="00F306DF"/>
    <w:rsid w:val="00F540F7"/>
    <w:rsid w:val="00F67224"/>
    <w:rsid w:val="00F87EE9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February%202022/Proposal%20for%205-year%20Concurrent%20BS%20TCmMA%20RCPC%20degree_with%20letters_as%20approved%20by%20LASRA%20Jan%2025%202022_GCCC%20Feb%207%202022.pdf" TargetMode="External"/><Relationship Id="rId13" Type="http://schemas.openxmlformats.org/officeDocument/2006/relationships/hyperlink" Target="https://iastate.box.com/s/ohzgdrwodyqqcu4cyv3wb6pje39h8zf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February%202022/remove%20specializations_compiledformSOE.docx" TargetMode="External"/><Relationship Id="rId12" Type="http://schemas.openxmlformats.org/officeDocument/2006/relationships/hyperlink" Target="https://iastate.box.com/s/go2rv67ph5ap8uts1w82nigvepkobk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January%202022/GC%20January%20Minutes_1-19-2022_with%20attendance%202.docx" TargetMode="External"/><Relationship Id="rId11" Type="http://schemas.openxmlformats.org/officeDocument/2006/relationships/hyperlink" Target="file:///\\myfiles.iastate.edu\sites\default\files\2021-2022\January%202022\Ready%20for%20Vote_Ch.6.3.2%20language%20clarification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d-college.iastate.edu/handbook/chapter.php?id=4" TargetMode="External"/><Relationship Id="rId10" Type="http://schemas.openxmlformats.org/officeDocument/2006/relationships/hyperlink" Target="file:///\\myfiles.iastate.edu\sites\default\files\2021-2022\January%202022\Ready%20for%20Vote_Minor%20Polic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Grad_Tuition_Scholarship_Policy.docx" TargetMode="External"/><Relationship Id="rId14" Type="http://schemas.openxmlformats.org/officeDocument/2006/relationships/hyperlink" Target="file:///\\myfiles.iastate.edu\sites\default\files\2021-2022\January%202022\DRAFT%20handbook%20language%20-%20injuri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2022-03-07T22:47:00Z</dcterms:created>
  <dcterms:modified xsi:type="dcterms:W3CDTF">2022-03-07T22:47:00Z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