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7D8536CF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37702D">
              <w:t>November 17,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6D40F8DA" w:rsidR="0044529C" w:rsidRPr="00E66093" w:rsidRDefault="0044529C" w:rsidP="006A5624">
            <w:pPr>
              <w:pStyle w:val="TableParagraph"/>
              <w:spacing w:line="249" w:lineRule="exact"/>
              <w:rPr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Default="004546B8" w:rsidP="004616A5">
            <w:pPr>
              <w:pStyle w:val="TableParagraph"/>
              <w:spacing w:line="248" w:lineRule="exact"/>
            </w:pPr>
            <w:r>
              <w:t>Support: Natalie Robinson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26457EA6" w:rsidR="00E66093" w:rsidRPr="00FC64E6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53187CC5" w14:textId="083CB5E8" w:rsidR="00FC64E6" w:rsidRPr="00E66093" w:rsidRDefault="00FC64E6" w:rsidP="00FC64E6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Welcome</w:t>
            </w:r>
          </w:p>
          <w:p w14:paraId="7D1F9449" w14:textId="1C1B2ECB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59DEED59" w14:textId="2F4230DD" w:rsidR="00FC64E6" w:rsidRDefault="00FC64E6" w:rsidP="00FC64E6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News about outcome of Council’s work on oral exam policy</w:t>
            </w:r>
          </w:p>
          <w:p w14:paraId="19594C8E" w14:textId="704FBDBE" w:rsidR="00FC64E6" w:rsidRDefault="00FC64E6" w:rsidP="00CE2E86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Enacted by GC as quickly as possible. A little over 2 weeks, 89 oral exams, 84 of 89 passed, 5 with conditions, no not passes</w:t>
            </w:r>
          </w:p>
          <w:p w14:paraId="3E2F279F" w14:textId="23393C22" w:rsidR="00FC64E6" w:rsidRDefault="00FC64E6" w:rsidP="00CE2E86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26% had a student remote, 54% ha</w:t>
            </w:r>
            <w:r w:rsidR="00CE2E86">
              <w:rPr>
                <w:rFonts w:eastAsia="Times New Roman"/>
                <w:color w:val="000000"/>
              </w:rPr>
              <w:t>d</w:t>
            </w:r>
            <w:r>
              <w:rPr>
                <w:rFonts w:eastAsia="Times New Roman"/>
                <w:color w:val="000000"/>
              </w:rPr>
              <w:t xml:space="preserve"> at least 1 committee member remote. 100% report that AV connections maintained well, all POS committee members participated throughout</w:t>
            </w:r>
          </w:p>
          <w:p w14:paraId="5FDED635" w14:textId="081743EE" w:rsidR="00FC64E6" w:rsidRPr="00E66093" w:rsidRDefault="00FC64E6" w:rsidP="00CE2E86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People happy with new system so far.</w:t>
            </w:r>
          </w:p>
          <w:p w14:paraId="3F88C090" w14:textId="7F95C2A5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2F593532" w14:textId="41A64D61" w:rsidR="00FC64E6" w:rsidRDefault="00FC64E6" w:rsidP="00FC64E6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High levels of mental distress from COVID; </w:t>
            </w:r>
            <w:r w:rsidR="00603CFF">
              <w:rPr>
                <w:rFonts w:eastAsia="Times New Roman"/>
                <w:color w:val="000000"/>
              </w:rPr>
              <w:t xml:space="preserve">be </w:t>
            </w:r>
            <w:r>
              <w:rPr>
                <w:rFonts w:eastAsia="Times New Roman"/>
                <w:color w:val="000000"/>
              </w:rPr>
              <w:t xml:space="preserve">alert and supportive, </w:t>
            </w:r>
            <w:r w:rsidR="00603CFF">
              <w:rPr>
                <w:rFonts w:eastAsia="Times New Roman"/>
                <w:color w:val="000000"/>
              </w:rPr>
              <w:t xml:space="preserve">as well as </w:t>
            </w:r>
            <w:r>
              <w:rPr>
                <w:rFonts w:eastAsia="Times New Roman"/>
                <w:color w:val="000000"/>
              </w:rPr>
              <w:t>familiar with resources</w:t>
            </w:r>
          </w:p>
          <w:p w14:paraId="3BC41CC7" w14:textId="16C9DD23" w:rsidR="00FC64E6" w:rsidRDefault="00FC64E6" w:rsidP="00603CFF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Long waiting lists at counseling center;</w:t>
            </w:r>
            <w:r w:rsidR="00603CFF">
              <w:rPr>
                <w:rFonts w:eastAsia="Times New Roman"/>
                <w:color w:val="000000"/>
              </w:rPr>
              <w:t xml:space="preserve"> advise students to</w:t>
            </w:r>
            <w:r>
              <w:rPr>
                <w:rFonts w:eastAsia="Times New Roman"/>
                <w:color w:val="000000"/>
              </w:rPr>
              <w:t xml:space="preserve"> consider group counseling if possible</w:t>
            </w:r>
          </w:p>
          <w:p w14:paraId="28B48297" w14:textId="0D7E5708" w:rsidR="00FC64E6" w:rsidRPr="00E66093" w:rsidRDefault="00FC64E6" w:rsidP="00603CFF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Online self-help resources. During crisis, say they’re in crisis.</w:t>
            </w:r>
          </w:p>
          <w:p w14:paraId="56A7D587" w14:textId="77777777" w:rsidR="0021595B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  <w:p w14:paraId="7F765820" w14:textId="3678D3DA" w:rsidR="004D0763" w:rsidRDefault="004D0763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Call for </w:t>
            </w:r>
            <w:proofErr w:type="spellStart"/>
            <w:r w:rsidR="0037702D">
              <w:rPr>
                <w:rFonts w:eastAsia="Times New Roman"/>
                <w:color w:val="000000"/>
              </w:rPr>
              <w:t>Karas</w:t>
            </w:r>
            <w:proofErr w:type="spellEnd"/>
            <w:r w:rsidR="0037702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37702D">
              <w:rPr>
                <w:rFonts w:eastAsia="Times New Roman"/>
                <w:color w:val="000000"/>
              </w:rPr>
              <w:t>Zaffarano</w:t>
            </w:r>
            <w:proofErr w:type="spellEnd"/>
            <w:r w:rsidR="0037702D">
              <w:rPr>
                <w:rFonts w:eastAsia="Times New Roman"/>
                <w:color w:val="000000"/>
              </w:rPr>
              <w:t xml:space="preserve"> Award</w:t>
            </w:r>
            <w:r w:rsidR="00FC64E6">
              <w:rPr>
                <w:rFonts w:eastAsia="Times New Roman"/>
                <w:color w:val="000000"/>
              </w:rPr>
              <w:t xml:space="preserve"> – Chen</w:t>
            </w:r>
            <w:r w:rsidR="00BD54F3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="00BD54F3">
              <w:rPr>
                <w:rFonts w:eastAsia="Times New Roman"/>
                <w:color w:val="000000"/>
              </w:rPr>
              <w:t>Karas</w:t>
            </w:r>
            <w:proofErr w:type="spellEnd"/>
            <w:r w:rsidR="00BD54F3">
              <w:rPr>
                <w:rFonts w:eastAsia="Times New Roman"/>
                <w:color w:val="000000"/>
              </w:rPr>
              <w:t>)</w:t>
            </w:r>
            <w:r w:rsidR="00FC64E6">
              <w:rPr>
                <w:rFonts w:eastAsia="Times New Roman"/>
                <w:color w:val="000000"/>
              </w:rPr>
              <w:t>, Lonergan</w:t>
            </w:r>
            <w:r w:rsidR="00501380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="00501380">
              <w:rPr>
                <w:rFonts w:eastAsia="Times New Roman"/>
                <w:color w:val="000000"/>
              </w:rPr>
              <w:t>Zaffarano</w:t>
            </w:r>
            <w:proofErr w:type="spellEnd"/>
            <w:r w:rsidR="00501380">
              <w:rPr>
                <w:rFonts w:eastAsia="Times New Roman"/>
                <w:color w:val="000000"/>
              </w:rPr>
              <w:t>)</w:t>
            </w:r>
            <w:r w:rsidR="007D1AC5">
              <w:rPr>
                <w:rFonts w:eastAsia="Times New Roman"/>
                <w:color w:val="000000"/>
              </w:rPr>
              <w:t>, Nelson (</w:t>
            </w:r>
            <w:proofErr w:type="spellStart"/>
            <w:r w:rsidR="007D1AC5">
              <w:rPr>
                <w:rFonts w:eastAsia="Times New Roman"/>
                <w:color w:val="000000"/>
              </w:rPr>
              <w:t>Zaffarano</w:t>
            </w:r>
            <w:proofErr w:type="spellEnd"/>
            <w:r w:rsidR="007D1AC5">
              <w:rPr>
                <w:rFonts w:eastAsia="Times New Roman"/>
                <w:color w:val="000000"/>
              </w:rPr>
              <w:t>)</w:t>
            </w:r>
          </w:p>
          <w:p w14:paraId="3767361F" w14:textId="4C4929B2" w:rsidR="00052DC0" w:rsidRDefault="00052DC0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Call for PLAC rep</w:t>
            </w:r>
          </w:p>
          <w:p w14:paraId="15658276" w14:textId="0EA69DC3" w:rsidR="002630E4" w:rsidRPr="001C23E3" w:rsidRDefault="002630E4" w:rsidP="0037702D">
            <w:pPr>
              <w:widowControl/>
              <w:autoSpaceDE/>
              <w:autoSpaceDN/>
              <w:spacing w:before="100" w:beforeAutospacing="1" w:after="100" w:afterAutospacing="1"/>
              <w:ind w:left="1484"/>
              <w:rPr>
                <w:rFonts w:eastAsia="Times New Roman"/>
                <w:color w:val="000000"/>
              </w:rPr>
            </w:pPr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1685538B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Agenda for </w:t>
            </w:r>
            <w:r w:rsidR="0037702D">
              <w:rPr>
                <w:rFonts w:eastAsia="Times New Roman"/>
                <w:color w:val="000000"/>
              </w:rPr>
              <w:t>November 17, 2021</w:t>
            </w:r>
            <w:r w:rsidRPr="00E66093">
              <w:rPr>
                <w:rFonts w:eastAsia="Times New Roman"/>
                <w:color w:val="000000"/>
              </w:rPr>
              <w:t xml:space="preserve"> meeting</w:t>
            </w:r>
          </w:p>
          <w:p w14:paraId="25D0DBE0" w14:textId="6F45020F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8B2470">
              <w:rPr>
                <w:rFonts w:eastAsia="Times New Roman"/>
                <w:bdr w:val="none" w:sz="0" w:space="0" w:color="auto" w:frame="1"/>
              </w:rPr>
              <w:t>Minutes</w:t>
            </w:r>
            <w:r w:rsidRPr="00E66093">
              <w:rPr>
                <w:rFonts w:eastAsia="Times New Roman"/>
                <w:color w:val="000000"/>
              </w:rPr>
              <w:t xml:space="preserve"> for </w:t>
            </w:r>
            <w:r w:rsidR="0037702D">
              <w:rPr>
                <w:rFonts w:eastAsia="Times New Roman"/>
                <w:color w:val="000000"/>
              </w:rPr>
              <w:t>October 20</w:t>
            </w:r>
            <w:r w:rsidRPr="00E66093">
              <w:rPr>
                <w:rFonts w:eastAsia="Times New Roman"/>
                <w:color w:val="000000"/>
              </w:rPr>
              <w:t>, 2021 meeting </w:t>
            </w:r>
          </w:p>
          <w:p w14:paraId="055211EE" w14:textId="77777777" w:rsidR="0037702D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</w:t>
            </w:r>
          </w:p>
          <w:p w14:paraId="2B0CEBAE" w14:textId="19969101" w:rsidR="0037702D" w:rsidRPr="003F4982" w:rsidRDefault="0037702D" w:rsidP="003F4982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770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 </w:t>
            </w:r>
            <w:hyperlink r:id="rId6" w:history="1">
              <w:r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MIS 410X/MIS 510X</w:t>
              </w:r>
            </w:hyperlink>
          </w:p>
          <w:p w14:paraId="4C518C31" w14:textId="77777777" w:rsidR="0037702D" w:rsidRPr="0037702D" w:rsidRDefault="00330C8D" w:rsidP="0037702D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hyperlink r:id="rId7" w:history="1">
              <w:r w:rsidR="0037702D"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Digital Marketplace Analytics Certificate</w:t>
              </w:r>
            </w:hyperlink>
          </w:p>
          <w:p w14:paraId="3611B19E" w14:textId="77777777" w:rsidR="0037702D" w:rsidRPr="00FC64E6" w:rsidRDefault="00330C8D" w:rsidP="0037702D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Style w:val="Hyperlink"/>
                <w:rFonts w:eastAsia="Times New Roman"/>
                <w:color w:val="000000"/>
                <w:u w:val="none"/>
              </w:rPr>
            </w:pPr>
            <w:hyperlink r:id="rId8" w:history="1">
              <w:r w:rsidR="0037702D"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Remove dual-list for MGMT 476X/576X</w:t>
              </w:r>
            </w:hyperlink>
          </w:p>
          <w:p w14:paraId="0AEAEE8F" w14:textId="111826E8" w:rsidR="00FC64E6" w:rsidRPr="007D1AC5" w:rsidRDefault="00FC64E6" w:rsidP="00FC64E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7D1AC5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All in favor</w:t>
            </w:r>
          </w:p>
        </w:tc>
        <w:tc>
          <w:tcPr>
            <w:tcW w:w="2340" w:type="dxa"/>
          </w:tcPr>
          <w:p w14:paraId="71CEAD60" w14:textId="5AB75185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lastRenderedPageBreak/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79F418D5" w14:textId="66A83767" w:rsidR="0037702D" w:rsidRPr="00C93535" w:rsidRDefault="00330C8D" w:rsidP="0037702D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7702D" w:rsidRPr="00B34328">
                <w:rPr>
                  <w:rStyle w:val="Hyperlink"/>
                  <w:shd w:val="clear" w:color="auto" w:fill="FFFFFF"/>
                </w:rPr>
                <w:t>Graduate tuition scholarship policy</w:t>
              </w:r>
            </w:hyperlink>
            <w:r w:rsidR="0037702D">
              <w:rPr>
                <w:color w:val="201F1E"/>
                <w:shd w:val="clear" w:color="auto" w:fill="FFFFFF"/>
              </w:rPr>
              <w:t xml:space="preserve"> (Graves)</w:t>
            </w:r>
          </w:p>
          <w:p w14:paraId="5E62679F" w14:textId="3104C71B" w:rsidR="00C93535" w:rsidRPr="00C93535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Policy 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 xml:space="preserve">states that if a 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master’s 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 xml:space="preserve">student is 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appointed 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 xml:space="preserve">to an assistantship 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outside their home college, it’s the appointing college 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 xml:space="preserve">that’s 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expected to pay the cost of 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>tuition scholarship</w:t>
            </w:r>
            <w:r w:rsidR="007D1AC5">
              <w:rPr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  <w:p w14:paraId="08363DAE" w14:textId="45F6C227" w:rsidR="00C93535" w:rsidRPr="00C93535" w:rsidRDefault="007D1AC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 doctoral students, the</w:t>
            </w:r>
            <w:r w:rsidR="00C93535">
              <w:rPr>
                <w:color w:val="000000"/>
                <w:sz w:val="24"/>
                <w:szCs w:val="24"/>
              </w:rPr>
              <w:t xml:space="preserve"> home department of</w:t>
            </w:r>
            <w:r>
              <w:rPr>
                <w:color w:val="000000"/>
                <w:sz w:val="24"/>
                <w:szCs w:val="24"/>
              </w:rPr>
              <w:t xml:space="preserve"> the</w:t>
            </w:r>
            <w:r w:rsidR="00C93535">
              <w:rPr>
                <w:color w:val="000000"/>
                <w:sz w:val="24"/>
                <w:szCs w:val="24"/>
              </w:rPr>
              <w:t xml:space="preserve"> Ph</w:t>
            </w:r>
            <w:r>
              <w:rPr>
                <w:color w:val="000000"/>
                <w:sz w:val="24"/>
                <w:szCs w:val="24"/>
              </w:rPr>
              <w:t>.</w:t>
            </w:r>
            <w:r w:rsidR="00C93535">
              <w:rPr>
                <w:color w:val="000000"/>
                <w:sz w:val="24"/>
                <w:szCs w:val="24"/>
              </w:rPr>
              <w:t xml:space="preserve">D. student covers </w:t>
            </w:r>
            <w:r>
              <w:rPr>
                <w:color w:val="000000"/>
                <w:sz w:val="24"/>
                <w:szCs w:val="24"/>
              </w:rPr>
              <w:t xml:space="preserve">the </w:t>
            </w:r>
            <w:r w:rsidR="00C93535">
              <w:rPr>
                <w:color w:val="000000"/>
                <w:sz w:val="24"/>
                <w:szCs w:val="24"/>
              </w:rPr>
              <w:t>cost whe</w:t>
            </w:r>
            <w:r>
              <w:rPr>
                <w:color w:val="000000"/>
                <w:sz w:val="24"/>
                <w:szCs w:val="24"/>
              </w:rPr>
              <w:t>n</w:t>
            </w:r>
            <w:r w:rsidR="00C93535">
              <w:rPr>
                <w:color w:val="000000"/>
                <w:sz w:val="24"/>
                <w:szCs w:val="24"/>
              </w:rPr>
              <w:t xml:space="preserve"> there’s not a grant/external funding. If </w:t>
            </w:r>
            <w:r>
              <w:rPr>
                <w:color w:val="000000"/>
                <w:sz w:val="24"/>
                <w:szCs w:val="24"/>
              </w:rPr>
              <w:t xml:space="preserve">there is an </w:t>
            </w:r>
            <w:r w:rsidR="00C93535">
              <w:rPr>
                <w:color w:val="000000"/>
                <w:sz w:val="24"/>
                <w:szCs w:val="24"/>
              </w:rPr>
              <w:t xml:space="preserve">outside source, expected to use it. Appointing unit rather than home college </w:t>
            </w:r>
            <w:r>
              <w:rPr>
                <w:color w:val="000000"/>
                <w:sz w:val="24"/>
                <w:szCs w:val="24"/>
              </w:rPr>
              <w:t>is responsible</w:t>
            </w:r>
            <w:r w:rsidR="00C93535">
              <w:rPr>
                <w:color w:val="000000"/>
                <w:sz w:val="24"/>
                <w:szCs w:val="24"/>
              </w:rPr>
              <w:t xml:space="preserve"> for cost. </w:t>
            </w:r>
            <w:r>
              <w:rPr>
                <w:color w:val="000000"/>
                <w:sz w:val="24"/>
                <w:szCs w:val="24"/>
              </w:rPr>
              <w:t>I</w:t>
            </w:r>
            <w:r w:rsidR="00C93535">
              <w:rPr>
                <w:color w:val="000000"/>
                <w:sz w:val="24"/>
                <w:szCs w:val="24"/>
              </w:rPr>
              <w:t xml:space="preserve">n some colleges, like design, </w:t>
            </w:r>
            <w:r>
              <w:rPr>
                <w:color w:val="000000"/>
                <w:sz w:val="24"/>
                <w:szCs w:val="24"/>
              </w:rPr>
              <w:t xml:space="preserve">there is </w:t>
            </w:r>
            <w:r w:rsidR="00C93535">
              <w:rPr>
                <w:color w:val="000000"/>
                <w:sz w:val="24"/>
                <w:szCs w:val="24"/>
              </w:rPr>
              <w:t>evidence for students from that college being appointed by other units on campus to take advantage of their skill</w:t>
            </w:r>
            <w:r w:rsidR="00501380">
              <w:rPr>
                <w:color w:val="000000"/>
                <w:sz w:val="24"/>
                <w:szCs w:val="24"/>
              </w:rPr>
              <w:t>s. The</w:t>
            </w:r>
            <w:r w:rsidR="00C93535">
              <w:rPr>
                <w:color w:val="000000"/>
                <w:sz w:val="24"/>
                <w:szCs w:val="24"/>
              </w:rPr>
              <w:t xml:space="preserve"> </w:t>
            </w:r>
            <w:r w:rsidR="00501380">
              <w:rPr>
                <w:color w:val="000000"/>
                <w:sz w:val="24"/>
                <w:szCs w:val="24"/>
              </w:rPr>
              <w:t>C</w:t>
            </w:r>
            <w:r w:rsidR="00C93535">
              <w:rPr>
                <w:color w:val="000000"/>
                <w:sz w:val="24"/>
                <w:szCs w:val="24"/>
              </w:rPr>
              <w:t xml:space="preserve">ollege of </w:t>
            </w:r>
            <w:r w:rsidR="00501380">
              <w:rPr>
                <w:color w:val="000000"/>
                <w:sz w:val="24"/>
                <w:szCs w:val="24"/>
              </w:rPr>
              <w:t>D</w:t>
            </w:r>
            <w:r w:rsidR="00C93535">
              <w:rPr>
                <w:color w:val="000000"/>
                <w:sz w:val="24"/>
                <w:szCs w:val="24"/>
              </w:rPr>
              <w:t>esign</w:t>
            </w:r>
            <w:r w:rsidR="00501380">
              <w:rPr>
                <w:color w:val="000000"/>
                <w:sz w:val="24"/>
                <w:szCs w:val="24"/>
              </w:rPr>
              <w:t xml:space="preserve"> is</w:t>
            </w:r>
            <w:r w:rsidR="00C93535">
              <w:rPr>
                <w:color w:val="000000"/>
                <w:sz w:val="24"/>
                <w:szCs w:val="24"/>
              </w:rPr>
              <w:t xml:space="preserve"> taken by surprise because they’d be required to cover tuition of students even though they didn’t approve assistantship or have knowledge of it. </w:t>
            </w:r>
          </w:p>
          <w:p w14:paraId="53E82198" w14:textId="169DCD4E" w:rsidR="00C93535" w:rsidRPr="00C93535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Terminal master’s definition: </w:t>
            </w:r>
            <w:r w:rsidR="00501380">
              <w:rPr>
                <w:color w:val="000000"/>
                <w:sz w:val="24"/>
                <w:szCs w:val="24"/>
              </w:rPr>
              <w:t>Landscape Architecture is considered terminal in the discipline</w:t>
            </w:r>
            <w:r>
              <w:rPr>
                <w:color w:val="000000"/>
                <w:sz w:val="24"/>
                <w:szCs w:val="24"/>
              </w:rPr>
              <w:t>. Others in College of Design, MFA in ENGL</w:t>
            </w:r>
            <w:r w:rsidR="00501380">
              <w:rPr>
                <w:color w:val="000000"/>
                <w:sz w:val="24"/>
                <w:szCs w:val="24"/>
              </w:rPr>
              <w:t xml:space="preserve"> all terminal</w:t>
            </w:r>
            <w:r>
              <w:rPr>
                <w:color w:val="000000"/>
                <w:sz w:val="24"/>
                <w:szCs w:val="24"/>
              </w:rPr>
              <w:t xml:space="preserve">. GC Handbook calls for terminal master’s to be handled like Ph.D. program </w:t>
            </w:r>
            <w:r w:rsidR="00501380">
              <w:rPr>
                <w:color w:val="000000"/>
                <w:sz w:val="24"/>
                <w:szCs w:val="24"/>
              </w:rPr>
              <w:t>regarding the</w:t>
            </w:r>
            <w:r>
              <w:rPr>
                <w:color w:val="000000"/>
                <w:sz w:val="24"/>
                <w:szCs w:val="24"/>
              </w:rPr>
              <w:t xml:space="preserve"> amount of tuition scholarship</w:t>
            </w:r>
            <w:r w:rsidR="000E1C97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call</w:t>
            </w:r>
            <w:r w:rsidR="00501380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for 100% tuition scholarship. Policy on who pays tuition doesn’t necessarily call for this. </w:t>
            </w:r>
          </w:p>
          <w:p w14:paraId="52C1B6D6" w14:textId="10CB4C3A" w:rsidR="00C93535" w:rsidRPr="00C93535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Align terminal </w:t>
            </w:r>
            <w:proofErr w:type="gramStart"/>
            <w:r>
              <w:rPr>
                <w:color w:val="000000"/>
                <w:sz w:val="24"/>
                <w:szCs w:val="24"/>
              </w:rPr>
              <w:t>master’s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with Ph.D. for amount but not for who pays the scholarship is how we’re treating it. </w:t>
            </w:r>
          </w:p>
          <w:p w14:paraId="62380A5C" w14:textId="297EEC42" w:rsidR="00C93535" w:rsidRPr="00C93535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Freeman: how many MFAs, MLAs, </w:t>
            </w:r>
            <w:r w:rsidR="000E1C97">
              <w:rPr>
                <w:color w:val="000000"/>
                <w:sz w:val="24"/>
                <w:szCs w:val="24"/>
              </w:rPr>
              <w:t xml:space="preserve">are </w:t>
            </w:r>
            <w:r>
              <w:rPr>
                <w:color w:val="000000"/>
                <w:sz w:val="24"/>
                <w:szCs w:val="24"/>
              </w:rPr>
              <w:t>paid outside their programs</w:t>
            </w:r>
            <w:r w:rsidR="000E1C97">
              <w:rPr>
                <w:color w:val="000000"/>
                <w:sz w:val="24"/>
                <w:szCs w:val="24"/>
              </w:rPr>
              <w:t>?</w:t>
            </w:r>
          </w:p>
          <w:p w14:paraId="76E7FB76" w14:textId="72A9D1F1" w:rsidR="00C93535" w:rsidRPr="00C93535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Haddad: COD c</w:t>
            </w:r>
            <w:r w:rsidR="000E1C97">
              <w:rPr>
                <w:color w:val="000000"/>
                <w:sz w:val="24"/>
                <w:szCs w:val="24"/>
              </w:rPr>
              <w:t>an co</w:t>
            </w:r>
            <w:r>
              <w:rPr>
                <w:color w:val="000000"/>
                <w:sz w:val="24"/>
                <w:szCs w:val="24"/>
              </w:rPr>
              <w:t xml:space="preserve">me up with some ideas. Talk to Seda to start. Data from GC regarding students affected, GC can help with that. Send material to Monica and will have updates at next meeting. </w:t>
            </w:r>
          </w:p>
          <w:p w14:paraId="7FE0C1DF" w14:textId="76F0A44C" w:rsidR="00C93535" w:rsidRPr="004B030F" w:rsidRDefault="00C93535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Nair: How does GC handle similar situations for interdepartmental programs</w:t>
            </w:r>
            <w:r w:rsidR="000E1C97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100% and 50% tuition applies to ½-time assistantships. ¼-time, assistantship cut in half. Who pays it? If a master’s student, would be the appointing unit, the IDGP itself. </w:t>
            </w:r>
            <w:r w:rsidR="004B030F">
              <w:rPr>
                <w:color w:val="000000"/>
                <w:sz w:val="24"/>
                <w:szCs w:val="24"/>
              </w:rPr>
              <w:t>No courses designated for the major with a TA in places like EEB. All TAs through a department. Tuition follows the department of the home department. Goes by college of DOG</w:t>
            </w:r>
            <w:r w:rsidR="000E1C97">
              <w:rPr>
                <w:color w:val="000000"/>
                <w:sz w:val="24"/>
                <w:szCs w:val="24"/>
              </w:rPr>
              <w:t>E</w:t>
            </w:r>
            <w:r w:rsidR="004B030F">
              <w:rPr>
                <w:color w:val="000000"/>
                <w:sz w:val="24"/>
                <w:szCs w:val="24"/>
              </w:rPr>
              <w:t xml:space="preserve"> i</w:t>
            </w:r>
            <w:r w:rsidR="000E1C97">
              <w:rPr>
                <w:color w:val="000000"/>
                <w:sz w:val="24"/>
                <w:szCs w:val="24"/>
              </w:rPr>
              <w:t>f</w:t>
            </w:r>
            <w:r w:rsidR="004B030F">
              <w:rPr>
                <w:color w:val="000000"/>
                <w:sz w:val="24"/>
                <w:szCs w:val="24"/>
              </w:rPr>
              <w:t xml:space="preserve"> m</w:t>
            </w:r>
            <w:r w:rsidR="000E1C97">
              <w:rPr>
                <w:color w:val="000000"/>
                <w:sz w:val="24"/>
                <w:szCs w:val="24"/>
              </w:rPr>
              <w:t xml:space="preserve">ajor professor is </w:t>
            </w:r>
            <w:r w:rsidR="004B030F">
              <w:rPr>
                <w:color w:val="000000"/>
                <w:sz w:val="24"/>
                <w:szCs w:val="24"/>
              </w:rPr>
              <w:t xml:space="preserve">not chosen yet. </w:t>
            </w:r>
          </w:p>
          <w:p w14:paraId="1E27586B" w14:textId="1FBD51E3" w:rsidR="004B030F" w:rsidRPr="004B030F" w:rsidRDefault="004B030F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Weinstein: admitted to Ph.D., doing degree with co-major department</w:t>
            </w:r>
            <w:r w:rsidR="000E1C97">
              <w:rPr>
                <w:color w:val="000000"/>
                <w:sz w:val="24"/>
                <w:szCs w:val="24"/>
              </w:rPr>
              <w:t>. Who pays in that situation?</w:t>
            </w:r>
          </w:p>
          <w:p w14:paraId="1DB4F6A9" w14:textId="019DF8BD" w:rsidR="004B030F" w:rsidRPr="004B030F" w:rsidRDefault="004B030F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Tuition assessment follows the higher degree. </w:t>
            </w:r>
          </w:p>
          <w:p w14:paraId="22937474" w14:textId="10812AC6" w:rsidR="004B030F" w:rsidRPr="004B030F" w:rsidRDefault="004B030F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Nair: SUSAG offer ¼-time assistantship for first year of student. Remaining ¼-time comes from m</w:t>
            </w:r>
            <w:r w:rsidR="000E1C97">
              <w:rPr>
                <w:color w:val="000000"/>
                <w:sz w:val="24"/>
                <w:szCs w:val="24"/>
              </w:rPr>
              <w:t>ajor professor</w:t>
            </w:r>
            <w:r>
              <w:rPr>
                <w:color w:val="000000"/>
                <w:sz w:val="24"/>
                <w:szCs w:val="24"/>
              </w:rPr>
              <w:t xml:space="preserve">. SUSAG has policy that </w:t>
            </w:r>
            <w:r w:rsidR="000E1C97">
              <w:rPr>
                <w:color w:val="000000"/>
                <w:sz w:val="24"/>
                <w:szCs w:val="24"/>
              </w:rPr>
              <w:t xml:space="preserve">they </w:t>
            </w:r>
            <w:r>
              <w:rPr>
                <w:color w:val="000000"/>
                <w:sz w:val="24"/>
                <w:szCs w:val="24"/>
              </w:rPr>
              <w:t>don’t pay tuition. Falls back on major professor.</w:t>
            </w:r>
          </w:p>
          <w:p w14:paraId="245C2841" w14:textId="4DB596F7" w:rsidR="004B030F" w:rsidRPr="00D73098" w:rsidRDefault="004B030F" w:rsidP="00C93535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How you want </w:t>
            </w:r>
            <w:r w:rsidR="000E1C97">
              <w:rPr>
                <w:color w:val="000000"/>
                <w:sz w:val="24"/>
                <w:szCs w:val="24"/>
              </w:rPr>
              <w:t>this to be assessed is important for WD.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9ED0BA8" w14:textId="4E6B413B" w:rsidR="0037702D" w:rsidRPr="004B030F" w:rsidRDefault="00330C8D" w:rsidP="0037702D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7702D" w:rsidRPr="00F1487E">
                <w:rPr>
                  <w:rStyle w:val="Hyperlink"/>
                </w:rPr>
                <w:t>Admissions Policy Document: Handbook Revision</w:t>
              </w:r>
              <w:r w:rsidR="0037702D">
                <w:rPr>
                  <w:rStyle w:val="Hyperlink"/>
                </w:rPr>
                <w:t xml:space="preserve"> Proposal</w:t>
              </w:r>
            </w:hyperlink>
            <w:r w:rsidR="0037702D">
              <w:rPr>
                <w:rStyle w:val="Hyperlink"/>
              </w:rPr>
              <w:t xml:space="preserve"> (</w:t>
            </w:r>
            <w:r w:rsidR="0037702D">
              <w:t>Hirschman)</w:t>
            </w:r>
          </w:p>
          <w:p w14:paraId="03B25A31" w14:textId="2CFAB62C" w:rsidR="004B030F" w:rsidRPr="000E1C97" w:rsidRDefault="004B030F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Lack of guidance regarding how admission should work. </w:t>
            </w:r>
          </w:p>
          <w:p w14:paraId="292B8C3B" w14:textId="4D68903D" w:rsidR="004B030F" w:rsidRPr="000E1C97" w:rsidRDefault="004B030F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Application process and deadline set. Someone can apply two weeks after semester starts. 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Proposal is to c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lose 1 month prior to term. </w:t>
            </w:r>
            <w:r w:rsidR="001E747D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That month may be problematic for professional, online programs. Happy to accept first week or day before semester starts, so don’t want app to close. Need ability for exceptions.</w:t>
            </w:r>
          </w:p>
          <w:p w14:paraId="457679BC" w14:textId="7F68DEF5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April 15 Resolution and app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lication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fee 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per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BOR policy</w:t>
            </w:r>
          </w:p>
          <w:p w14:paraId="7BF000BF" w14:textId="543A19E2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How long application is valid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and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residency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requirements are outstanding issues.</w:t>
            </w:r>
          </w:p>
          <w:p w14:paraId="5FBDE58C" w14:textId="30DA6311" w:rsidR="00884948" w:rsidRPr="000E1C97" w:rsidRDefault="001E747D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The proposal includes only 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current practice about who admits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graduate students. </w:t>
            </w:r>
          </w:p>
          <w:p w14:paraId="07E655FC" w14:textId="2F78E80D" w:rsidR="001E747D" w:rsidRDefault="001E747D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The proposal is to n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ot make changes to major after 10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vertAlign w:val="superscript"/>
              </w:rPr>
              <w:t>th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day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of the term, or census day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; 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often, 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students seeking concurrent grad/UG 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after the start of the term 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presents financial aid, tuition assessment, 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etc. issues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 T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his policy proposal is meant to t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ackle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said</w:t>
            </w:r>
            <w:r w:rsidR="00884948"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retroactive issues. </w:t>
            </w:r>
          </w:p>
          <w:p w14:paraId="6A764099" w14:textId="1EE30FEA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If 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admissions 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offer 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is 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revoked, comes through GC.</w:t>
            </w:r>
          </w:p>
          <w:p w14:paraId="20405EEE" w14:textId="495014EB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Admissions decisions fro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 Office of Admissions and GC. Currently, applicants are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told they are getting admission before they have been approved for admission by </w:t>
            </w:r>
            <w:r w:rsidR="001E7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GC</w:t>
            </w:r>
            <w:r w:rsidR="000A28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and this practice can be mitigated by a clearer policy in the Handbook</w:t>
            </w: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.  </w:t>
            </w:r>
          </w:p>
          <w:p w14:paraId="45208E93" w14:textId="77777777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Programs can always say no if late application comes in; not sure. Problem more with the paper applications where it’s halfway through the term, etc. asking to be placed in programs retroactively. Clean up when that needs to come in.</w:t>
            </w:r>
          </w:p>
          <w:p w14:paraId="379E71DB" w14:textId="77777777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Adams: April 15 Resolution doesn’t apply to January admits</w:t>
            </w:r>
          </w:p>
          <w:p w14:paraId="259C3B68" w14:textId="77777777" w:rsidR="00884948" w:rsidRPr="000E1C97" w:rsidRDefault="00884948" w:rsidP="004B030F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1C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Nair: take students in summer as well</w:t>
            </w:r>
          </w:p>
          <w:p w14:paraId="4A7C38F2" w14:textId="124AB998" w:rsidR="00D65E08" w:rsidRPr="000E1C97" w:rsidRDefault="00333430" w:rsidP="00333430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Application requirements: how nonnative English speakers are determined. </w:t>
            </w:r>
            <w:r w:rsidR="000A2824" w:rsidRPr="000E1C97">
              <w:rPr>
                <w:rFonts w:asciiTheme="minorHAnsi" w:hAnsiTheme="minorHAnsi" w:cstheme="minorHAnsi"/>
                <w:sz w:val="24"/>
                <w:szCs w:val="24"/>
              </w:rPr>
              <w:t>English Proficiency: practice does not match the policy.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Standardized tests cannot be the single reason for admitting or denying applicant. Not require supplemental applications or questions outside ISU app. </w:t>
            </w:r>
          </w:p>
          <w:p w14:paraId="4B4FFAB2" w14:textId="1C7E2A12" w:rsidR="00333430" w:rsidRPr="000A2824" w:rsidRDefault="00333430" w:rsidP="000A2824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GRE not being required as much by graduate programs. </w:t>
            </w:r>
            <w:proofErr w:type="gramStart"/>
            <w:r w:rsidRPr="000E1C97">
              <w:rPr>
                <w:rFonts w:asciiTheme="minorHAnsi" w:hAnsiTheme="minorHAnsi" w:cstheme="minorHAnsi"/>
                <w:sz w:val="24"/>
                <w:szCs w:val="24"/>
              </w:rPr>
              <w:t>Fewer</w:t>
            </w:r>
            <w:proofErr w:type="gramEnd"/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 than ½ of Ph.D. programs now require it. Trend to eliminate GRE in Physics across the university. </w:t>
            </w:r>
          </w:p>
          <w:p w14:paraId="1313E2C1" w14:textId="39A5E434" w:rsidR="00333430" w:rsidRPr="000E1C97" w:rsidRDefault="001735DF" w:rsidP="00333430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Chen: </w:t>
            </w:r>
            <w:r w:rsidR="00333430"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GPA from students from US 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333430" w:rsidRPr="000E1C97">
              <w:rPr>
                <w:rFonts w:asciiTheme="minorHAnsi" w:hAnsiTheme="minorHAnsi" w:cstheme="minorHAnsi"/>
                <w:sz w:val="24"/>
                <w:szCs w:val="24"/>
              </w:rPr>
              <w:t>clear. In College of Engineering, most applicants are international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>. How to evaluate GPA? Hirschman: This is p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art of 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review from 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>Office of Admissions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 Something being discussed for WD 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 xml:space="preserve">about 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>how to make that clea</w:t>
            </w:r>
            <w:r w:rsidR="000A2824">
              <w:rPr>
                <w:rFonts w:asciiTheme="minorHAnsi" w:hAnsiTheme="minorHAnsi" w:cstheme="minorHAnsi"/>
                <w:sz w:val="24"/>
                <w:szCs w:val="24"/>
              </w:rPr>
              <w:t>rer. Resource in Graduate Tools &gt;</w:t>
            </w: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 xml:space="preserve"> International Grading and Test Scores. </w:t>
            </w:r>
          </w:p>
          <w:p w14:paraId="61F1D568" w14:textId="15276BF5" w:rsidR="001735DF" w:rsidRDefault="001735DF" w:rsidP="00333430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</w:pPr>
            <w:r w:rsidRPr="000E1C97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  <w:r w:rsidRPr="000A2824">
              <w:rPr>
                <w:rFonts w:asciiTheme="minorHAnsi" w:hAnsiTheme="minorHAnsi" w:cstheme="minorHAnsi"/>
                <w:sz w:val="24"/>
                <w:szCs w:val="24"/>
              </w:rPr>
              <w:t>ecial Applicant Categories. Reentry in line with reinstatement</w:t>
            </w:r>
            <w:r w:rsidRPr="000A2824">
              <w:rPr>
                <w:sz w:val="24"/>
                <w:szCs w:val="24"/>
              </w:rPr>
              <w:t xml:space="preserve"> policies. In-session, ou</w:t>
            </w:r>
            <w:r w:rsidR="000A2824">
              <w:rPr>
                <w:sz w:val="24"/>
                <w:szCs w:val="24"/>
              </w:rPr>
              <w:t>r current transfers, etc. Treat</w:t>
            </w:r>
            <w:r w:rsidRPr="000A2824">
              <w:rPr>
                <w:sz w:val="24"/>
                <w:szCs w:val="24"/>
              </w:rPr>
              <w:t xml:space="preserve"> as admission to the majors. </w:t>
            </w:r>
          </w:p>
          <w:p w14:paraId="7099DDEE" w14:textId="77777777" w:rsidR="001735DF" w:rsidRDefault="001735DF" w:rsidP="00333430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</w:pPr>
            <w:r>
              <w:t xml:space="preserve">Chen: App fee revenue, and what is it used for? NSF relationship with Ghana, central Africa; ask for application fee to be waived. </w:t>
            </w:r>
          </w:p>
          <w:p w14:paraId="0608BAE6" w14:textId="5E092FAE" w:rsidR="001735DF" w:rsidRPr="00255A3F" w:rsidRDefault="001735DF" w:rsidP="00333430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</w:pPr>
            <w:r>
              <w:lastRenderedPageBreak/>
              <w:t xml:space="preserve">App fee decision. In 2014, BOR directive to match app fee amount with the other Regents institutions. </w:t>
            </w:r>
          </w:p>
        </w:tc>
        <w:tc>
          <w:tcPr>
            <w:tcW w:w="2340" w:type="dxa"/>
          </w:tcPr>
          <w:p w14:paraId="21F45AC7" w14:textId="64652CFE" w:rsidR="0037702D" w:rsidRPr="002A385C" w:rsidRDefault="00A74979" w:rsidP="00A74979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 </w:t>
            </w:r>
            <w:r w:rsidR="0037702D">
              <w:t>Graves,</w:t>
            </w:r>
            <w:r>
              <w:t xml:space="preserve"> </w:t>
            </w:r>
            <w:r w:rsidR="0037702D">
              <w:t>Hirschman</w:t>
            </w:r>
            <w:r w:rsidR="0037702D" w:rsidRPr="002A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F6B11F" w14:textId="364B59DD" w:rsidR="00FF73C6" w:rsidRDefault="00FF73C6">
            <w:pPr>
              <w:pStyle w:val="TableParagraph"/>
              <w:ind w:left="105"/>
            </w:pP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lastRenderedPageBreak/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6AEC8F6A" w14:textId="217720B9" w:rsidR="0037702D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Graduate Minor policy</w:t>
            </w:r>
          </w:p>
          <w:p w14:paraId="722F0C01" w14:textId="0871A2E1" w:rsidR="001735DF" w:rsidRPr="0037702D" w:rsidRDefault="004A112D" w:rsidP="001735DF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Adams’s program i</w:t>
            </w:r>
            <w:r w:rsidR="001735D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nformed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by a student that</w:t>
            </w:r>
            <w:r w:rsidR="001735D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they are taking a minor for a minor that is not offered.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Request to change language in Handbook to clarify that a minor must actually be offered by the graduate program. </w:t>
            </w:r>
          </w:p>
          <w:p w14:paraId="07C151C2" w14:textId="6A5B81EA" w:rsidR="002A385C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500/600 level course definitions</w:t>
            </w:r>
            <w:r w:rsidR="00A7497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and who’s eligible to take each course</w:t>
            </w:r>
          </w:p>
          <w:p w14:paraId="5393CCDE" w14:textId="3DCF1FD0" w:rsidR="00065BE7" w:rsidRDefault="004A112D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If a high school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student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is 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qualified to take that course, do we want to prevent them from doing so? Qualified means appropriate prereq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uisite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taken. Might not make sense for a HS student, but if there was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 undergrad who could take a 600-level, not necessarily want to prevent them from taking it. </w:t>
            </w:r>
          </w:p>
          <w:p w14:paraId="6926DCF8" w14:textId="764B302B" w:rsidR="00065BE7" w:rsidRDefault="00065BE7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Chen: always open for more flexibility for the student. 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If 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HS student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is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strong enough to take a grad-level course, should be able to. </w:t>
            </w:r>
          </w:p>
          <w:p w14:paraId="78C84E2A" w14:textId="633158A9" w:rsidR="00065BE7" w:rsidRDefault="00065BE7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Haddad: students 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have short undergrad experience;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level of maturity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is different,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even though very smart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Not a good idea to have HS students taking 500-level. Make</w:t>
            </w:r>
            <w:r w:rsidR="004A11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 the undergraduate experience even faster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  <w:p w14:paraId="14A90DD3" w14:textId="16FAFEFF" w:rsidR="00065BE7" w:rsidRDefault="00330C8D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Winham: highly-ranked HS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student, encour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aged to take a 500-level course. They may have the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credentials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indicating that they are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very qualified,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but we</w:t>
            </w:r>
            <w:r w:rsidR="00065B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need to think about this. </w:t>
            </w:r>
          </w:p>
          <w:p w14:paraId="23DE0241" w14:textId="2E09A0A8" w:rsidR="00065BE7" w:rsidRDefault="00065BE7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Weinstein: imagine scenario for UG taking all 300- and 400-level at ISU 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different from transferring courses. </w:t>
            </w:r>
          </w:p>
          <w:p w14:paraId="4FE30B36" w14:textId="663CEC1B" w:rsidR="00065BE7" w:rsidRPr="0037702D" w:rsidRDefault="00065BE7" w:rsidP="00065B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Chen: flexibility is key. </w:t>
            </w:r>
          </w:p>
          <w:p w14:paraId="796F6854" w14:textId="272472EF" w:rsidR="0037702D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Programs changing their curricular requirements – timing and notification to GC</w:t>
            </w:r>
          </w:p>
          <w:p w14:paraId="3C5A0F32" w14:textId="51751AE1" w:rsidR="004239BC" w:rsidRDefault="004239BC" w:rsidP="004239B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Curricular decisions rest with faculty</w:t>
            </w:r>
          </w:p>
          <w:p w14:paraId="149501C8" w14:textId="2ED8CE1F" w:rsidR="004239BC" w:rsidRDefault="004239BC" w:rsidP="004239B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GC process is making sure minimum is met. How those are met 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is at the program level and DOGE &amp;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POS comm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ittee.</w:t>
            </w:r>
          </w:p>
          <w:p w14:paraId="638977F3" w14:textId="6498165C" w:rsidR="004239BC" w:rsidRPr="0037702D" w:rsidRDefault="004239BC" w:rsidP="004239B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Curricular requirements met. Don’t build the academic requirements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in WD but use something like the current POSCs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 Leave details out of formal approval process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3DF2D64D" w14:textId="2A57E28F" w:rsidR="0037702D" w:rsidRPr="002E3A8F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Meaning of “concurrent” programs</w:t>
            </w:r>
            <w:r w:rsidR="00330C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(save for next meeting)</w:t>
            </w:r>
          </w:p>
        </w:tc>
        <w:tc>
          <w:tcPr>
            <w:tcW w:w="2340" w:type="dxa"/>
          </w:tcPr>
          <w:p w14:paraId="28141B12" w14:textId="22443867" w:rsidR="004357B6" w:rsidRDefault="0037702D">
            <w:pPr>
              <w:pStyle w:val="TableParagraph"/>
              <w:ind w:left="105"/>
            </w:pPr>
            <w:r>
              <w:t>Robinson</w:t>
            </w: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310F5F12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  <w:p w14:paraId="4E98326A" w14:textId="1E8E58A1" w:rsidR="002A385C" w:rsidRDefault="002A385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</w:pPr>
          </w:p>
        </w:tc>
        <w:tc>
          <w:tcPr>
            <w:tcW w:w="2340" w:type="dxa"/>
          </w:tcPr>
          <w:p w14:paraId="18407CFD" w14:textId="55EAE43D" w:rsidR="00DE306E" w:rsidRDefault="00DE306E" w:rsidP="008B2470">
            <w:pPr>
              <w:pStyle w:val="TableParagraph"/>
              <w:ind w:left="105"/>
            </w:pPr>
          </w:p>
        </w:tc>
      </w:tr>
    </w:tbl>
    <w:tbl>
      <w:tblPr>
        <w:tblpPr w:leftFromText="180" w:rightFromText="180" w:vertAnchor="text" w:horzAnchor="margin" w:tblpXSpec="center" w:tblpY="-13164"/>
        <w:tblW w:w="12275" w:type="dxa"/>
        <w:tblLook w:val="04A0" w:firstRow="1" w:lastRow="0" w:firstColumn="1" w:lastColumn="0" w:noHBand="0" w:noVBand="1"/>
      </w:tblPr>
      <w:tblGrid>
        <w:gridCol w:w="1231"/>
        <w:gridCol w:w="1874"/>
        <w:gridCol w:w="3293"/>
        <w:gridCol w:w="651"/>
        <w:gridCol w:w="779"/>
        <w:gridCol w:w="650"/>
        <w:gridCol w:w="665"/>
        <w:gridCol w:w="587"/>
        <w:gridCol w:w="679"/>
        <w:gridCol w:w="622"/>
        <w:gridCol w:w="622"/>
        <w:gridCol w:w="622"/>
      </w:tblGrid>
      <w:tr w:rsidR="00192C85" w14:paraId="4FBEDB52" w14:textId="77777777" w:rsidTr="00881692">
        <w:trPr>
          <w:trHeight w:val="3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97007" w14:textId="77777777" w:rsidR="00192C85" w:rsidRDefault="00192C85" w:rsidP="008816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BABA9" w14:textId="77777777" w:rsidR="00192C85" w:rsidRDefault="00192C85" w:rsidP="008816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5A8B" w14:textId="77777777" w:rsidR="00192C85" w:rsidRDefault="00192C85" w:rsidP="008816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F72C4" w14:textId="77777777" w:rsidR="00192C85" w:rsidRDefault="00192C85" w:rsidP="008816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B51A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6F7F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5F29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383D6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5758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CA6C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66A06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E4B63" w14:textId="77777777" w:rsidR="00192C85" w:rsidRDefault="00192C85" w:rsidP="00881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192C85" w14:paraId="198E9844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C82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A970C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160E8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6AF0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5E0A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9234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B65F" w14:textId="566A3F59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406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FD8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1F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020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AB49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548E4CF8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DE8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F69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267A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D2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2BBE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FD671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834B" w14:textId="03426DB8" w:rsidR="00192C85" w:rsidRDefault="002F6DA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3B0B6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EEF2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8F45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C92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BAA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3FB527D4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97B0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33BA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128E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9CF7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7F3A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C98E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84598" w14:textId="4BB14458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BF7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442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A37D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55F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ED7A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4E11D30D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C6EF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Chunhui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D45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9717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0D1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27D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4B2E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0905" w14:textId="42B8EEE3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A81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02DA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2468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810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0D0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5D45834B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84F3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1D5F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76BD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1776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EBC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DA76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A32E" w14:textId="450D0AA1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EC0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0E45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E97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659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AA0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2507C255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A94A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5BF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Wald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126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C50D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710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8D5B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DE82" w14:textId="2677DB46" w:rsidR="00192C85" w:rsidRDefault="002F6DA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E0435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3D1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7B0E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9A3A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C19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3D0C2C55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FC0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6D6B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8574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75F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28E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A9084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E667" w14:textId="462101AA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DE1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650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DAD7D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562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C89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34A48DD8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8190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2C2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DE6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1AC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76A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0FEC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B8A9" w14:textId="404C15EF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02C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CC4B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44EAA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BEF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C5F65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0CE34545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D87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784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3C4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49D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7FC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1DFD6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202E" w14:textId="205D9F67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8643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B946D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9FC8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B1B5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6CA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00210626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32A0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CD56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257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DBC5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D5D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307E0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D865" w14:textId="47436AC2" w:rsidR="00192C85" w:rsidRDefault="00330C8D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611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5D89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51FA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9DBE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4529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7D9BDD02" w14:textId="77777777" w:rsidTr="00881692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8187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C17B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EAF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4B2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AA8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EB2F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6ABA" w14:textId="5AE93967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36C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FC4D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F121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0014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E58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43E0418D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BEC" w14:textId="77777777" w:rsidR="00192C85" w:rsidRDefault="00192C85" w:rsidP="00881692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92DC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F1DD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9383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D57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1E02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FC28" w14:textId="0C5A7F62" w:rsidR="00192C85" w:rsidRDefault="00FC64E6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724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0A2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6E2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AF2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F3E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27E26D50" w14:textId="77777777" w:rsidTr="00881692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24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5DE5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0292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4F7E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DF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0718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BF6D0" w14:textId="6E019A42" w:rsidR="00192C85" w:rsidRDefault="007423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8744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FAFE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9B52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223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30D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05270565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500F" w14:textId="77777777" w:rsidR="00192C85" w:rsidRDefault="00192C85" w:rsidP="0088169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4198D" w14:textId="77777777" w:rsidR="00192C85" w:rsidRDefault="00192C85" w:rsidP="0088169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528B7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CF1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F7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1EA0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A42A" w14:textId="5F23E572" w:rsidR="00192C85" w:rsidRDefault="002F6DA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39DAD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4B51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3F285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B6E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920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447F92EC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B328" w14:textId="77777777" w:rsidR="00192C85" w:rsidRDefault="00192C85" w:rsidP="0088169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D99A" w14:textId="77777777" w:rsidR="00192C85" w:rsidRDefault="00192C85" w:rsidP="0088169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BB24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37E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B0D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1CD7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6428" w14:textId="320FD382" w:rsidR="00192C85" w:rsidRDefault="00FC64E6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3CB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BADF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EB2A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9DA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332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47B1D8C0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43848" w14:textId="77777777" w:rsidR="00192C85" w:rsidRDefault="00192C85" w:rsidP="00881692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60061D" w14:textId="77777777" w:rsidR="00192C85" w:rsidRDefault="00192C85" w:rsidP="00881692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D7460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21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7EB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D61A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87B2F" w14:textId="6A97C18D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AEC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13B6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B029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1BB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267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6652C9CF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528D3" w14:textId="77777777" w:rsidR="00192C85" w:rsidRDefault="00192C85" w:rsidP="00881692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BEFC8" w14:textId="77777777" w:rsidR="00192C85" w:rsidRDefault="00192C85" w:rsidP="00881692">
            <w:pPr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AB049" w14:textId="77777777" w:rsidR="00192C85" w:rsidRDefault="00192C85" w:rsidP="00881692">
            <w:pPr>
              <w:rPr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B830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D0D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CC48" w14:textId="77777777" w:rsidR="00192C85" w:rsidRDefault="00192C85" w:rsidP="00881692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A98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8121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77E4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336C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443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9025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6E210B10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4F965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Stephanie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06072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Klein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70DD90" w14:textId="77777777" w:rsidR="00192C85" w:rsidRDefault="00192C85" w:rsidP="0088169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C9BD" w14:textId="77777777" w:rsidR="00192C85" w:rsidRDefault="00192C85" w:rsidP="0088169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04C4" w14:textId="77777777" w:rsidR="00192C85" w:rsidRDefault="00192C85" w:rsidP="0088169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BBA62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F9A6" w14:textId="7F262F29" w:rsidR="00192C85" w:rsidRDefault="002F6DA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2A0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8F8E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1C18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8159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2D7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09B9D681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2670B" w14:textId="77777777" w:rsidR="00192C85" w:rsidRDefault="00192C85" w:rsidP="00881692">
            <w:pPr>
              <w:rPr>
                <w:sz w:val="20"/>
              </w:rPr>
            </w:pPr>
            <w:r>
              <w:rPr>
                <w:sz w:val="20"/>
              </w:rPr>
              <w:t xml:space="preserve">Katherine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27B8C8" w14:textId="77777777" w:rsidR="00192C85" w:rsidRDefault="00192C85" w:rsidP="00881692">
            <w:pPr>
              <w:rPr>
                <w:sz w:val="20"/>
              </w:rPr>
            </w:pPr>
            <w:r>
              <w:rPr>
                <w:sz w:val="20"/>
              </w:rPr>
              <w:t>Geist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E8BBCE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9DEE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BA5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26EC" w14:textId="77777777" w:rsidR="00192C85" w:rsidRDefault="00192C85" w:rsidP="00881692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EFB2" w14:textId="76EC358C" w:rsidR="00192C85" w:rsidRDefault="002F6DA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4FD6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DAC39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4B44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58F6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C169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162BFA49" w14:textId="77777777" w:rsidTr="00881692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6C1FE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D10C7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98485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E78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7178" w14:textId="77777777" w:rsidR="00192C85" w:rsidRDefault="00192C85" w:rsidP="0088169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0EB6" w14:textId="77777777" w:rsidR="00192C85" w:rsidRDefault="00192C85" w:rsidP="00881692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61B7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47E3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B3B4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D11B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8E6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4D8D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1D9E081D" w14:textId="77777777" w:rsidTr="00881692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D70C0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Chelsea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B525C" w14:textId="77777777" w:rsidR="00192C85" w:rsidRDefault="00192C85" w:rsidP="008816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Iennarella-Servantez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380BF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-- Biological &amp; Agricultural Sciences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ED36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590E" w14:textId="77777777" w:rsidR="00192C85" w:rsidRDefault="00192C85" w:rsidP="0088169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2AA2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3356" w14:textId="00637EBB" w:rsidR="00192C85" w:rsidRDefault="00330C8D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43B6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1577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4AD0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E52E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C92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13AFD986" w14:textId="77777777" w:rsidTr="00881692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9F3B6" w14:textId="77777777" w:rsidR="00192C85" w:rsidRDefault="00192C85" w:rsidP="0088169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76947" w14:textId="77777777" w:rsidR="00192C85" w:rsidRDefault="00192C85" w:rsidP="0088169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EB2AB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16D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CAC" w14:textId="77777777" w:rsidR="00192C85" w:rsidRDefault="00192C85" w:rsidP="0088169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6043C" w14:textId="77777777" w:rsidR="00192C85" w:rsidRDefault="00192C85" w:rsidP="00881692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2BCB" w14:textId="04016EC7" w:rsidR="00192C85" w:rsidRDefault="00330C8D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D4D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37B5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E79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817F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9BA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7AF8B75E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89A75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A5DDD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3F9538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4615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8213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E2B4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D807" w14:textId="46038D87" w:rsidR="00192C85" w:rsidRDefault="00330C8D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  <w:bookmarkStart w:id="3" w:name="_GoBack"/>
            <w:bookmarkEnd w:id="3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46B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5024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4C5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2A37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F21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1C1955C0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F8EE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91FC9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537E3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DF7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0C6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AC26" w14:textId="77777777" w:rsidR="00192C85" w:rsidRDefault="00192C85" w:rsidP="00881692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1AC0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15A3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D88B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2D8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767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D9E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4AC2EB27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B70B5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1F8DF2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54D9C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4B91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B0B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37CA1" w14:textId="77777777" w:rsidR="00192C85" w:rsidRDefault="00192C85" w:rsidP="00881692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2640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1F2B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9E1E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3DB8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F8A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E48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65BFC9B0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C41FB2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00B20D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B7404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886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E3A7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6584" w14:textId="77777777" w:rsidR="00192C85" w:rsidRDefault="00192C85" w:rsidP="00881692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6FB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957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170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25FD5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34FD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90D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338234F4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A95961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D69C0E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D994F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257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4828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FF06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5082" w14:textId="41F252C8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886F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D1E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4907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C68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0EF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2E28FA24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642B8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AA4AA9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099C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AC2A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94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C882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13C5" w14:textId="4FBBADA6" w:rsidR="00192C85" w:rsidRDefault="007423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3FAA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2117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626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C06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62B0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05E200FA" w14:textId="77777777" w:rsidTr="00881692">
        <w:trPr>
          <w:trHeight w:val="35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1108D2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8C6703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8A859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F120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A37C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9912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43D41" w14:textId="68209C81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A7E0" w14:textId="77777777" w:rsidR="00192C85" w:rsidRDefault="00192C85" w:rsidP="00881692">
            <w:pPr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1E3A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39FD1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DB6F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083E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192C85" w14:paraId="2106DBED" w14:textId="77777777" w:rsidTr="00881692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4C311D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050B83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8299" w14:textId="77777777" w:rsidR="00192C85" w:rsidRDefault="00192C85" w:rsidP="00881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 Services Specialist II,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9F189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F952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0B5D9" w14:textId="77777777" w:rsidR="00192C85" w:rsidRDefault="00192C85" w:rsidP="00881692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D37BA" w14:textId="7B49B9CF" w:rsidR="00192C85" w:rsidRDefault="00336E6C" w:rsidP="008816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91A4" w14:textId="77777777" w:rsidR="00192C85" w:rsidRDefault="00192C85" w:rsidP="0088169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32DD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1CB32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2B63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2FDC" w14:textId="77777777" w:rsidR="00192C85" w:rsidRDefault="00192C85" w:rsidP="0088169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1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787"/>
    <w:rsid w:val="00042052"/>
    <w:rsid w:val="00044AE8"/>
    <w:rsid w:val="00050F7F"/>
    <w:rsid w:val="00052DC0"/>
    <w:rsid w:val="00062BEE"/>
    <w:rsid w:val="00065BE7"/>
    <w:rsid w:val="000A2824"/>
    <w:rsid w:val="000A339C"/>
    <w:rsid w:val="000C7961"/>
    <w:rsid w:val="000D60FB"/>
    <w:rsid w:val="000E1C97"/>
    <w:rsid w:val="0010026A"/>
    <w:rsid w:val="001541FB"/>
    <w:rsid w:val="001715C7"/>
    <w:rsid w:val="001735DF"/>
    <w:rsid w:val="00192C85"/>
    <w:rsid w:val="001C23E3"/>
    <w:rsid w:val="001E747D"/>
    <w:rsid w:val="001F3F44"/>
    <w:rsid w:val="00203B65"/>
    <w:rsid w:val="0021153C"/>
    <w:rsid w:val="0021595B"/>
    <w:rsid w:val="00255A3F"/>
    <w:rsid w:val="00261E2A"/>
    <w:rsid w:val="002630E4"/>
    <w:rsid w:val="0026550D"/>
    <w:rsid w:val="002A385C"/>
    <w:rsid w:val="002B2D43"/>
    <w:rsid w:val="002E2BA3"/>
    <w:rsid w:val="002E3A8F"/>
    <w:rsid w:val="002F6DA5"/>
    <w:rsid w:val="002F74B7"/>
    <w:rsid w:val="00330C8D"/>
    <w:rsid w:val="00333430"/>
    <w:rsid w:val="00336E6C"/>
    <w:rsid w:val="0037702D"/>
    <w:rsid w:val="003F4982"/>
    <w:rsid w:val="004239BC"/>
    <w:rsid w:val="004357B6"/>
    <w:rsid w:val="0044529C"/>
    <w:rsid w:val="004546B8"/>
    <w:rsid w:val="004616A5"/>
    <w:rsid w:val="004A112D"/>
    <w:rsid w:val="004A1BB6"/>
    <w:rsid w:val="004B030F"/>
    <w:rsid w:val="004C6C41"/>
    <w:rsid w:val="004D0763"/>
    <w:rsid w:val="004F72B7"/>
    <w:rsid w:val="00501380"/>
    <w:rsid w:val="0050200C"/>
    <w:rsid w:val="00547A2E"/>
    <w:rsid w:val="0056666C"/>
    <w:rsid w:val="005A3043"/>
    <w:rsid w:val="005F6FC6"/>
    <w:rsid w:val="00603CFF"/>
    <w:rsid w:val="00682D30"/>
    <w:rsid w:val="006832DC"/>
    <w:rsid w:val="0069210E"/>
    <w:rsid w:val="00697908"/>
    <w:rsid w:val="006A5624"/>
    <w:rsid w:val="006C6FA2"/>
    <w:rsid w:val="006E3401"/>
    <w:rsid w:val="00742385"/>
    <w:rsid w:val="007618F8"/>
    <w:rsid w:val="007B1DED"/>
    <w:rsid w:val="007C17FE"/>
    <w:rsid w:val="007D1AC5"/>
    <w:rsid w:val="00822BE2"/>
    <w:rsid w:val="008535B7"/>
    <w:rsid w:val="00855273"/>
    <w:rsid w:val="0086785D"/>
    <w:rsid w:val="00873530"/>
    <w:rsid w:val="00884948"/>
    <w:rsid w:val="008950EC"/>
    <w:rsid w:val="008B2470"/>
    <w:rsid w:val="009130B0"/>
    <w:rsid w:val="00915109"/>
    <w:rsid w:val="0094002B"/>
    <w:rsid w:val="0096714F"/>
    <w:rsid w:val="009D3A9E"/>
    <w:rsid w:val="009D429A"/>
    <w:rsid w:val="00A40B59"/>
    <w:rsid w:val="00A74979"/>
    <w:rsid w:val="00A9764B"/>
    <w:rsid w:val="00AC480A"/>
    <w:rsid w:val="00B16F81"/>
    <w:rsid w:val="00B33322"/>
    <w:rsid w:val="00B34328"/>
    <w:rsid w:val="00B44F2F"/>
    <w:rsid w:val="00B5529C"/>
    <w:rsid w:val="00B84432"/>
    <w:rsid w:val="00B8463F"/>
    <w:rsid w:val="00B95BFE"/>
    <w:rsid w:val="00BA540A"/>
    <w:rsid w:val="00BD1FD3"/>
    <w:rsid w:val="00BD54F3"/>
    <w:rsid w:val="00C24093"/>
    <w:rsid w:val="00C82261"/>
    <w:rsid w:val="00C93535"/>
    <w:rsid w:val="00C9568F"/>
    <w:rsid w:val="00CE2E86"/>
    <w:rsid w:val="00D65E08"/>
    <w:rsid w:val="00D72C3D"/>
    <w:rsid w:val="00D73098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C64E6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November%202021/MGMT%20476X%20request%20to%20make%20permanent-signed.docx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November%202021/Digital%20Marketplace%20Analytics%20Proposal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registrar.iastate.edu/courseadminx/?key=23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astate.app.box.com/file/854527094762?s=f96bpwu01owmiye5czr7fvub8bhsws9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Grad_Tuition_Scholarship_Polic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0239-7158-4F22-A40E-F7997964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15</cp:revision>
  <dcterms:created xsi:type="dcterms:W3CDTF">2021-12-06T15:02:00Z</dcterms:created>
  <dcterms:modified xsi:type="dcterms:W3CDTF">2021-12-07T00:02:00Z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