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989C7" w14:textId="76B1E119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</w:t>
      </w:r>
      <w:r w:rsidR="00E61250">
        <w:t>MINUTES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>
              <w:rPr>
                <w:b/>
                <w:i/>
                <w:color w:val="FFFFFF"/>
              </w:rPr>
              <w:t>Key Roles</w:t>
            </w:r>
          </w:p>
        </w:tc>
      </w:tr>
      <w:tr w:rsidR="0044529C" w14:paraId="1984D639" w14:textId="77777777">
        <w:trPr>
          <w:trHeight w:val="529"/>
        </w:trPr>
        <w:tc>
          <w:tcPr>
            <w:tcW w:w="5328" w:type="dxa"/>
          </w:tcPr>
          <w:p w14:paraId="720A7EE9" w14:textId="6CDEA779" w:rsidR="0044529C" w:rsidRDefault="006A5624">
            <w:pPr>
              <w:pStyle w:val="TableParagraph"/>
              <w:spacing w:line="260" w:lineRule="exact"/>
            </w:pPr>
            <w:r>
              <w:t xml:space="preserve">Date: </w:t>
            </w:r>
            <w:r w:rsidR="00BD1FD3">
              <w:t>September 15</w:t>
            </w:r>
            <w:r w:rsidR="0094002B">
              <w:t>, 2021</w:t>
            </w:r>
          </w:p>
          <w:p w14:paraId="0FD036EB" w14:textId="77777777" w:rsidR="00E66093" w:rsidRDefault="004546B8" w:rsidP="006A5624">
            <w:pPr>
              <w:pStyle w:val="TableParagraph"/>
              <w:spacing w:line="249" w:lineRule="exact"/>
            </w:pPr>
            <w:r>
              <w:t xml:space="preserve">Place: </w:t>
            </w:r>
            <w:proofErr w:type="spellStart"/>
            <w:r w:rsidR="006A5624">
              <w:t>Webex</w:t>
            </w:r>
            <w:proofErr w:type="spellEnd"/>
          </w:p>
          <w:p w14:paraId="17B3A2FD" w14:textId="41BEED1A" w:rsidR="0044529C" w:rsidRPr="00E66093" w:rsidRDefault="00B34328" w:rsidP="006A5624">
            <w:pPr>
              <w:pStyle w:val="TableParagraph"/>
              <w:spacing w:line="249" w:lineRule="exact"/>
              <w:rPr>
                <w:b/>
                <w:bCs/>
              </w:rPr>
            </w:pPr>
            <w:r>
              <w:rPr>
                <w:rFonts w:ascii="Segoe UI" w:hAnsi="Segoe UI" w:cs="Segoe UI"/>
                <w:color w:val="0072C6"/>
                <w:sz w:val="21"/>
                <w:szCs w:val="21"/>
                <w:shd w:val="clear" w:color="auto" w:fill="FFFFFF"/>
              </w:rPr>
              <w:t>https://iastate.webex.com/iastate/j.php?MTID=m5c5616586024b389f72168257c1b2ef7</w:t>
            </w:r>
          </w:p>
        </w:tc>
        <w:tc>
          <w:tcPr>
            <w:tcW w:w="5376" w:type="dxa"/>
          </w:tcPr>
          <w:p w14:paraId="61807E94" w14:textId="77777777" w:rsidR="0044529C" w:rsidRDefault="004546B8" w:rsidP="0010026A">
            <w:pPr>
              <w:pStyle w:val="TableParagraph"/>
              <w:spacing w:line="260" w:lineRule="exact"/>
            </w:pPr>
            <w:r>
              <w:t xml:space="preserve">Meeting Leader: </w:t>
            </w:r>
            <w:r w:rsidR="0010026A">
              <w:t>Dean Adams</w:t>
            </w:r>
            <w:r>
              <w:t>, Chair</w:t>
            </w:r>
          </w:p>
        </w:tc>
      </w:tr>
      <w:tr w:rsidR="0044529C" w14:paraId="4C6F5EF2" w14:textId="77777777">
        <w:trPr>
          <w:trHeight w:val="268"/>
        </w:trPr>
        <w:tc>
          <w:tcPr>
            <w:tcW w:w="5328" w:type="dxa"/>
          </w:tcPr>
          <w:p w14:paraId="181B161C" w14:textId="77777777" w:rsidR="0044529C" w:rsidRDefault="004546B8">
            <w:pPr>
              <w:pStyle w:val="TableParagraph"/>
              <w:spacing w:line="248" w:lineRule="exact"/>
            </w:pPr>
            <w:r>
              <w:t>Start Time: 4:15 pm</w:t>
            </w:r>
          </w:p>
        </w:tc>
        <w:tc>
          <w:tcPr>
            <w:tcW w:w="5376" w:type="dxa"/>
          </w:tcPr>
          <w:p w14:paraId="622BFBFF" w14:textId="6684B9F2" w:rsidR="0044529C" w:rsidRDefault="004546B8" w:rsidP="00C84B0C">
            <w:pPr>
              <w:pStyle w:val="TableParagraph"/>
              <w:spacing w:line="248" w:lineRule="exact"/>
            </w:pPr>
            <w:r>
              <w:t>Support: Natalie Robinson</w:t>
            </w:r>
          </w:p>
        </w:tc>
      </w:tr>
      <w:tr w:rsidR="0044529C" w14:paraId="30B25E25" w14:textId="77777777">
        <w:trPr>
          <w:trHeight w:val="268"/>
        </w:trPr>
        <w:tc>
          <w:tcPr>
            <w:tcW w:w="5328" w:type="dxa"/>
          </w:tcPr>
          <w:p w14:paraId="679A46AC" w14:textId="77777777" w:rsidR="0044529C" w:rsidRDefault="004546B8">
            <w:pPr>
              <w:pStyle w:val="TableParagraph"/>
              <w:spacing w:line="248" w:lineRule="exact"/>
            </w:pPr>
            <w:r>
              <w:t>End Time: 5:30 pm</w:t>
            </w:r>
          </w:p>
        </w:tc>
        <w:tc>
          <w:tcPr>
            <w:tcW w:w="5376" w:type="dxa"/>
          </w:tcPr>
          <w:p w14:paraId="24962FBE" w14:textId="77777777" w:rsidR="0044529C" w:rsidRDefault="0044529C">
            <w:pPr>
              <w:pStyle w:val="TableParagraph"/>
              <w:spacing w:line="248" w:lineRule="exact"/>
            </w:pPr>
          </w:p>
        </w:tc>
      </w:tr>
    </w:tbl>
    <w:p w14:paraId="45D28E47" w14:textId="77777777" w:rsidR="0044529C" w:rsidRDefault="0044529C">
      <w:pPr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Default="004546B8">
            <w:pPr>
              <w:pStyle w:val="TableParagraph"/>
            </w:pPr>
            <w:r>
              <w:t>TIME</w:t>
            </w:r>
          </w:p>
        </w:tc>
        <w:tc>
          <w:tcPr>
            <w:tcW w:w="7471" w:type="dxa"/>
          </w:tcPr>
          <w:p w14:paraId="26B09C09" w14:textId="77777777" w:rsidR="0044529C" w:rsidRDefault="004546B8">
            <w:pPr>
              <w:pStyle w:val="TableParagraph"/>
            </w:pPr>
            <w:r>
              <w:t>TOPIC</w:t>
            </w:r>
          </w:p>
        </w:tc>
        <w:tc>
          <w:tcPr>
            <w:tcW w:w="2340" w:type="dxa"/>
          </w:tcPr>
          <w:p w14:paraId="605EBC1E" w14:textId="77777777" w:rsidR="0044529C" w:rsidRDefault="004546B8">
            <w:pPr>
              <w:pStyle w:val="TableParagraph"/>
              <w:ind w:left="105"/>
            </w:pPr>
            <w:r>
              <w:t>DISCUSSION LEADER</w:t>
            </w:r>
          </w:p>
        </w:tc>
      </w:tr>
      <w:tr w:rsidR="0044529C" w14:paraId="5D0F09EC" w14:textId="77777777">
        <w:trPr>
          <w:trHeight w:val="817"/>
        </w:trPr>
        <w:tc>
          <w:tcPr>
            <w:tcW w:w="900" w:type="dxa"/>
          </w:tcPr>
          <w:p w14:paraId="627A3AEB" w14:textId="77777777" w:rsidR="0044529C" w:rsidRDefault="004546B8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14:paraId="06332875" w14:textId="77777777" w:rsidR="0044529C" w:rsidRDefault="004546B8">
            <w:pPr>
              <w:pStyle w:val="TableParagraph"/>
            </w:pPr>
            <w:r>
              <w:t>Call to Order</w:t>
            </w:r>
          </w:p>
          <w:p w14:paraId="695A94F2" w14:textId="77777777" w:rsidR="0044529C" w:rsidRDefault="004546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Attendance and seating of substitute council</w:t>
            </w:r>
            <w:r>
              <w:rPr>
                <w:spacing w:val="-15"/>
              </w:rPr>
              <w:t xml:space="preserve"> </w:t>
            </w:r>
            <w:r>
              <w:t>members</w:t>
            </w:r>
          </w:p>
          <w:p w14:paraId="73A3D73C" w14:textId="0D17AA8E" w:rsidR="000975AC" w:rsidRDefault="000975AC" w:rsidP="00C84B0C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Kathleen Delate for Ajay Nair, Hort</w:t>
            </w:r>
            <w:r w:rsidR="00C84B0C">
              <w:t>iculture</w:t>
            </w:r>
          </w:p>
        </w:tc>
        <w:tc>
          <w:tcPr>
            <w:tcW w:w="2340" w:type="dxa"/>
          </w:tcPr>
          <w:p w14:paraId="6F85049E" w14:textId="77777777" w:rsidR="0044529C" w:rsidRDefault="0010026A">
            <w:pPr>
              <w:pStyle w:val="TableParagraph"/>
              <w:ind w:left="105"/>
            </w:pPr>
            <w:r>
              <w:t>Adams</w:t>
            </w:r>
          </w:p>
        </w:tc>
      </w:tr>
      <w:tr w:rsidR="0044529C" w14:paraId="341D44FA" w14:textId="77777777">
        <w:trPr>
          <w:trHeight w:val="1389"/>
        </w:trPr>
        <w:tc>
          <w:tcPr>
            <w:tcW w:w="900" w:type="dxa"/>
          </w:tcPr>
          <w:p w14:paraId="24FC8B90" w14:textId="77777777" w:rsidR="0044529C" w:rsidRDefault="00050F7F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14:paraId="0782CB36" w14:textId="77777777" w:rsidR="005F6FC6" w:rsidRDefault="004546B8" w:rsidP="005F6FC6">
            <w:pPr>
              <w:pStyle w:val="TableParagraph"/>
            </w:pPr>
            <w:r>
              <w:t>Announcements and Remarks</w:t>
            </w:r>
          </w:p>
          <w:p w14:paraId="5BB3004E" w14:textId="09F27EC5" w:rsidR="00E66093" w:rsidRPr="000975AC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 Council Chair,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Adams</w:t>
            </w:r>
          </w:p>
          <w:p w14:paraId="7D1F9449" w14:textId="233E593F" w:rsid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, Bill</w:t>
            </w:r>
            <w:r w:rsidRPr="00E66093">
              <w:rPr>
                <w:rFonts w:eastAsia="Times New Roman"/>
                <w:color w:val="000000"/>
                <w:spacing w:val="-5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</w:rPr>
              <w:t>Graves </w:t>
            </w:r>
          </w:p>
          <w:p w14:paraId="29F2873A" w14:textId="624479A9" w:rsidR="000975AC" w:rsidRPr="00806F4F" w:rsidRDefault="00C84B0C" w:rsidP="00806F4F">
            <w:pPr>
              <w:widowControl/>
              <w:numPr>
                <w:ilvl w:val="1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Discussed the new a</w:t>
            </w:r>
            <w:r w:rsidR="000975AC">
              <w:rPr>
                <w:rFonts w:eastAsia="Times New Roman"/>
                <w:color w:val="000000"/>
              </w:rPr>
              <w:t>nnual re</w:t>
            </w:r>
            <w:r>
              <w:rPr>
                <w:rFonts w:eastAsia="Times New Roman"/>
                <w:color w:val="000000"/>
              </w:rPr>
              <w:t>ward for the Graduate Program of the Year. The d</w:t>
            </w:r>
            <w:r w:rsidR="000975AC">
              <w:rPr>
                <w:rFonts w:eastAsia="Times New Roman"/>
                <w:color w:val="000000"/>
              </w:rPr>
              <w:t xml:space="preserve">eadline </w:t>
            </w:r>
            <w:r>
              <w:rPr>
                <w:rFonts w:eastAsia="Times New Roman"/>
                <w:color w:val="000000"/>
              </w:rPr>
              <w:t xml:space="preserve">is </w:t>
            </w:r>
            <w:r w:rsidR="000975AC">
              <w:rPr>
                <w:rFonts w:eastAsia="Times New Roman"/>
                <w:color w:val="000000"/>
              </w:rPr>
              <w:t>first Friday of Oct</w:t>
            </w:r>
            <w:r>
              <w:rPr>
                <w:rFonts w:eastAsia="Times New Roman"/>
                <w:color w:val="000000"/>
              </w:rPr>
              <w:t>ober</w:t>
            </w:r>
            <w:r w:rsidR="000975AC">
              <w:rPr>
                <w:rFonts w:eastAsia="Times New Roman"/>
                <w:color w:val="000000"/>
              </w:rPr>
              <w:t>.; depending on who applies,</w:t>
            </w:r>
            <w:r>
              <w:rPr>
                <w:rFonts w:eastAsia="Times New Roman"/>
                <w:color w:val="000000"/>
              </w:rPr>
              <w:t xml:space="preserve"> GC will</w:t>
            </w:r>
            <w:r w:rsidR="000975AC">
              <w:rPr>
                <w:rFonts w:eastAsia="Times New Roman"/>
                <w:color w:val="000000"/>
              </w:rPr>
              <w:t xml:space="preserve"> put together a committee with faculty who don’t have a conflict of interest.</w:t>
            </w:r>
            <w:r w:rsidR="00806F4F">
              <w:rPr>
                <w:rFonts w:eastAsia="Times New Roman"/>
                <w:color w:val="000000"/>
              </w:rPr>
              <w:t xml:space="preserve"> </w:t>
            </w:r>
            <w:r w:rsidR="00806F4F">
              <w:rPr>
                <w:rFonts w:eastAsia="Times New Roman"/>
                <w:color w:val="000000"/>
              </w:rPr>
              <w:t xml:space="preserve">Website about grad program award. Sent via email to DOGEs and department chairs. </w:t>
            </w:r>
          </w:p>
          <w:p w14:paraId="0FE7A97F" w14:textId="39D66325" w:rsidR="000975AC" w:rsidRDefault="000975AC" w:rsidP="000975AC">
            <w:pPr>
              <w:widowControl/>
              <w:numPr>
                <w:ilvl w:val="1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Deadline for </w:t>
            </w:r>
            <w:r w:rsidR="00C84B0C">
              <w:rPr>
                <w:rFonts w:eastAsia="Times New Roman"/>
                <w:color w:val="000000"/>
              </w:rPr>
              <w:t>the 6</w:t>
            </w:r>
            <w:r w:rsidR="00C84B0C" w:rsidRPr="00C84B0C">
              <w:rPr>
                <w:rFonts w:eastAsia="Times New Roman"/>
                <w:color w:val="000000"/>
                <w:vertAlign w:val="superscript"/>
              </w:rPr>
              <w:t>th</w:t>
            </w:r>
            <w:r w:rsidR="00C84B0C">
              <w:rPr>
                <w:rFonts w:eastAsia="Times New Roman"/>
                <w:color w:val="000000"/>
              </w:rPr>
              <w:t xml:space="preserve"> Annual </w:t>
            </w:r>
            <w:r>
              <w:rPr>
                <w:rFonts w:eastAsia="Times New Roman"/>
                <w:color w:val="000000"/>
              </w:rPr>
              <w:t xml:space="preserve">3MT </w:t>
            </w:r>
            <w:r w:rsidR="00C84B0C">
              <w:rPr>
                <w:rFonts w:eastAsia="Times New Roman"/>
                <w:color w:val="000000"/>
              </w:rPr>
              <w:t xml:space="preserve">Competition </w:t>
            </w:r>
            <w:r>
              <w:rPr>
                <w:rFonts w:eastAsia="Times New Roman"/>
                <w:color w:val="000000"/>
              </w:rPr>
              <w:t>applications</w:t>
            </w:r>
            <w:r w:rsidR="00C84B0C">
              <w:rPr>
                <w:rFonts w:eastAsia="Times New Roman"/>
                <w:color w:val="000000"/>
              </w:rPr>
              <w:t xml:space="preserve"> is today at 11:59 p.m.</w:t>
            </w:r>
            <w:r>
              <w:rPr>
                <w:rFonts w:eastAsia="Times New Roman"/>
                <w:color w:val="000000"/>
              </w:rPr>
              <w:t xml:space="preserve"> Great way to showcase research happening acro</w:t>
            </w:r>
            <w:r w:rsidR="00C84B0C">
              <w:rPr>
                <w:rFonts w:eastAsia="Times New Roman"/>
                <w:color w:val="000000"/>
              </w:rPr>
              <w:t xml:space="preserve">ss campus. Grad College website for </w:t>
            </w:r>
            <w:r>
              <w:rPr>
                <w:rFonts w:eastAsia="Times New Roman"/>
                <w:color w:val="000000"/>
              </w:rPr>
              <w:t xml:space="preserve">3MT info. Can be brand new student. </w:t>
            </w:r>
          </w:p>
          <w:p w14:paraId="3F88C090" w14:textId="1652BCB0" w:rsidR="00E66093" w:rsidRP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Associate Graduate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, Carolyn</w:t>
            </w:r>
            <w:r w:rsidRPr="00E66093">
              <w:rPr>
                <w:rFonts w:eastAsia="Times New Roman"/>
                <w:color w:val="000000"/>
                <w:spacing w:val="-7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</w:rPr>
              <w:t>Cutrona</w:t>
            </w:r>
            <w:r w:rsidR="00806F4F">
              <w:rPr>
                <w:rFonts w:eastAsia="Times New Roman"/>
                <w:color w:val="000000"/>
              </w:rPr>
              <w:t xml:space="preserve"> – no comments</w:t>
            </w:r>
            <w:r w:rsidRPr="00E66093">
              <w:rPr>
                <w:rFonts w:eastAsia="Times New Roman"/>
                <w:color w:val="000000"/>
              </w:rPr>
              <w:t> </w:t>
            </w:r>
          </w:p>
          <w:p w14:paraId="15658276" w14:textId="6C06A9DC" w:rsidR="0021595B" w:rsidRPr="001C23E3" w:rsidRDefault="00E66093" w:rsidP="001C23E3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 College Office, Natalie Robinson</w:t>
            </w:r>
            <w:r w:rsidR="00806F4F">
              <w:rPr>
                <w:rFonts w:eastAsia="Times New Roman"/>
                <w:color w:val="000000"/>
              </w:rPr>
              <w:t>—no comments</w:t>
            </w:r>
          </w:p>
        </w:tc>
        <w:tc>
          <w:tcPr>
            <w:tcW w:w="2340" w:type="dxa"/>
          </w:tcPr>
          <w:p w14:paraId="724AA15C" w14:textId="7C835083" w:rsidR="0044529C" w:rsidRDefault="0010026A" w:rsidP="0010026A">
            <w:pPr>
              <w:pStyle w:val="TableParagraph"/>
              <w:spacing w:line="240" w:lineRule="auto"/>
              <w:ind w:left="105" w:right="239"/>
            </w:pPr>
            <w:r>
              <w:t>Adams</w:t>
            </w:r>
            <w:r w:rsidR="00697908">
              <w:t>, Graves, Cutrona</w:t>
            </w:r>
            <w:r w:rsidR="00E66093">
              <w:t>, Robinson</w:t>
            </w:r>
          </w:p>
        </w:tc>
      </w:tr>
      <w:tr w:rsidR="0044529C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77777777" w:rsidR="0044529C" w:rsidRDefault="00255A3F" w:rsidP="00255A3F">
            <w:pPr>
              <w:pStyle w:val="TableParagraph"/>
            </w:pPr>
            <w:r>
              <w:t>4:25</w:t>
            </w:r>
          </w:p>
        </w:tc>
        <w:tc>
          <w:tcPr>
            <w:tcW w:w="7471" w:type="dxa"/>
          </w:tcPr>
          <w:p w14:paraId="354AE6C7" w14:textId="77777777" w:rsidR="0044529C" w:rsidRDefault="004546B8">
            <w:pPr>
              <w:pStyle w:val="TableParagraph"/>
            </w:pPr>
            <w:r>
              <w:t>Consent Agenda</w:t>
            </w:r>
          </w:p>
          <w:p w14:paraId="699C21FD" w14:textId="7BF8B832" w:rsidR="00E66093" w:rsidRPr="00E66093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 xml:space="preserve">Agenda for </w:t>
            </w:r>
            <w:r w:rsidR="001C23E3">
              <w:rPr>
                <w:rFonts w:eastAsia="Times New Roman"/>
                <w:color w:val="000000"/>
              </w:rPr>
              <w:t>September 15</w:t>
            </w:r>
            <w:r w:rsidRPr="00E66093">
              <w:rPr>
                <w:rFonts w:eastAsia="Times New Roman"/>
                <w:color w:val="000000"/>
              </w:rPr>
              <w:t>, 2021 meeting</w:t>
            </w:r>
          </w:p>
          <w:p w14:paraId="25D0DBE0" w14:textId="2574F2F0" w:rsidR="00E66093" w:rsidRPr="00E66093" w:rsidRDefault="008F24A4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hyperlink r:id="rId6" w:history="1">
              <w:r w:rsidR="00E66093" w:rsidRPr="001C23E3">
                <w:rPr>
                  <w:rStyle w:val="Hyperlink"/>
                  <w:rFonts w:eastAsia="Times New Roman"/>
                  <w:bdr w:val="none" w:sz="0" w:space="0" w:color="auto" w:frame="1"/>
                </w:rPr>
                <w:t>Minutes</w:t>
              </w:r>
            </w:hyperlink>
            <w:r w:rsidR="00E66093" w:rsidRPr="00E66093">
              <w:rPr>
                <w:rFonts w:eastAsia="Times New Roman"/>
                <w:color w:val="000000"/>
              </w:rPr>
              <w:t xml:space="preserve"> for </w:t>
            </w:r>
            <w:r w:rsidR="001C23E3">
              <w:rPr>
                <w:rFonts w:eastAsia="Times New Roman"/>
                <w:color w:val="000000"/>
              </w:rPr>
              <w:t>August 25</w:t>
            </w:r>
            <w:r w:rsidR="00E66093" w:rsidRPr="00E66093">
              <w:rPr>
                <w:rFonts w:eastAsia="Times New Roman"/>
                <w:color w:val="000000"/>
              </w:rPr>
              <w:t>, 2021 meeting </w:t>
            </w:r>
          </w:p>
          <w:p w14:paraId="588FE89B" w14:textId="62515DAA" w:rsidR="00E66093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 xml:space="preserve">Items from GCCC: </w:t>
            </w:r>
          </w:p>
          <w:p w14:paraId="66833519" w14:textId="24B4EA8B" w:rsidR="001C23E3" w:rsidRPr="00925FB7" w:rsidRDefault="001C23E3" w:rsidP="001C23E3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Style w:val="Hyperlink"/>
                <w:rFonts w:asciiTheme="minorHAnsi" w:eastAsia="Times New Roman" w:hAnsiTheme="minorHAnsi" w:cstheme="minorHAnsi"/>
                <w:color w:val="000000"/>
                <w:u w:val="none"/>
              </w:rPr>
            </w:pPr>
            <w:r w:rsidRPr="001C23E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Accounting Area of Specialization Name Changes: </w:t>
            </w:r>
            <w:hyperlink r:id="rId7" w:history="1">
              <w:r w:rsidRPr="001C23E3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Data Analytics</w:t>
              </w:r>
            </w:hyperlink>
            <w:r w:rsidRPr="001C23E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, </w:t>
            </w:r>
            <w:hyperlink r:id="rId8" w:history="1">
              <w:r w:rsidRPr="001C23E3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Financial Reporting</w:t>
              </w:r>
            </w:hyperlink>
            <w:r w:rsidRPr="001C23E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, </w:t>
            </w:r>
            <w:hyperlink r:id="rId9" w:history="1">
              <w:r w:rsidRPr="001C23E3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Managerial Decision-Making</w:t>
              </w:r>
            </w:hyperlink>
            <w:r w:rsidRPr="001C23E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, </w:t>
            </w:r>
            <w:hyperlink r:id="rId10" w:history="1">
              <w:r w:rsidRPr="001C23E3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Tax </w:t>
              </w:r>
            </w:hyperlink>
            <w:r w:rsidRPr="001C23E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and Removal of Area of Specialization: </w:t>
            </w:r>
            <w:hyperlink r:id="rId11" w:history="1">
              <w:r w:rsidRPr="001C23E3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Global Business</w:t>
              </w:r>
            </w:hyperlink>
          </w:p>
          <w:p w14:paraId="4B96A40C" w14:textId="0C86F036" w:rsidR="00925FB7" w:rsidRPr="001C23E3" w:rsidRDefault="00925FB7" w:rsidP="001C23E3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All in favor</w:t>
            </w:r>
            <w:r w:rsidR="00806F4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; 11-0</w:t>
            </w:r>
            <w:r w:rsidR="00A06A9E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.</w:t>
            </w:r>
          </w:p>
          <w:p w14:paraId="0AEAEE8F" w14:textId="4DF9220D" w:rsidR="007B1DED" w:rsidRPr="0096714F" w:rsidRDefault="007B1DED" w:rsidP="00E66093">
            <w:pPr>
              <w:pStyle w:val="ListParagraph"/>
              <w:shd w:val="clear" w:color="auto" w:fill="FFFFFF"/>
              <w:ind w:left="2160"/>
              <w:textAlignment w:val="baseline"/>
              <w:rPr>
                <w:color w:val="000000"/>
              </w:rPr>
            </w:pPr>
          </w:p>
        </w:tc>
        <w:tc>
          <w:tcPr>
            <w:tcW w:w="2340" w:type="dxa"/>
          </w:tcPr>
          <w:p w14:paraId="71CEAD60" w14:textId="12B531EA" w:rsidR="0044529C" w:rsidRDefault="0010026A">
            <w:pPr>
              <w:pStyle w:val="TableParagraph"/>
              <w:ind w:left="105"/>
            </w:pPr>
            <w:r>
              <w:t>Adams</w:t>
            </w:r>
            <w:r w:rsidR="00E66093">
              <w:t>, Robinson</w:t>
            </w:r>
          </w:p>
        </w:tc>
      </w:tr>
      <w:tr w:rsidR="00FF73C6" w14:paraId="6DF5A223" w14:textId="77777777">
        <w:trPr>
          <w:trHeight w:val="1389"/>
        </w:trPr>
        <w:tc>
          <w:tcPr>
            <w:tcW w:w="900" w:type="dxa"/>
          </w:tcPr>
          <w:p w14:paraId="08BF1C80" w14:textId="77777777" w:rsidR="00FF73C6" w:rsidRDefault="00255A3F" w:rsidP="00D732B0">
            <w:pPr>
              <w:pStyle w:val="TableParagraph"/>
            </w:pPr>
            <w:r>
              <w:t>4:</w:t>
            </w:r>
            <w:r w:rsidR="00D732B0">
              <w:t>25</w:t>
            </w:r>
          </w:p>
        </w:tc>
        <w:tc>
          <w:tcPr>
            <w:tcW w:w="7471" w:type="dxa"/>
          </w:tcPr>
          <w:p w14:paraId="26B50403" w14:textId="77777777" w:rsidR="001541FB" w:rsidRDefault="00255A3F" w:rsidP="001541FB">
            <w:pPr>
              <w:pStyle w:val="TableParagraph"/>
            </w:pPr>
            <w:r>
              <w:t>Old</w:t>
            </w:r>
            <w:r w:rsidR="00FF73C6">
              <w:t xml:space="preserve"> Business</w:t>
            </w:r>
          </w:p>
          <w:p w14:paraId="6A3F14B4" w14:textId="0DFF3FF7" w:rsidR="0010026A" w:rsidRPr="00925FB7" w:rsidRDefault="0010026A" w:rsidP="00DF46D5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0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Remote defense </w:t>
            </w:r>
            <w:r w:rsidR="00DB4C0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– </w:t>
            </w:r>
            <w:hyperlink r:id="rId12" w:history="1">
              <w:r w:rsidR="00DB4C0D" w:rsidRPr="00B34328">
                <w:rPr>
                  <w:rStyle w:val="Hyperlink"/>
                  <w:rFonts w:eastAsia="Times New Roman"/>
                  <w:sz w:val="24"/>
                  <w:szCs w:val="24"/>
                  <w:bdr w:val="none" w:sz="0" w:space="0" w:color="auto" w:frame="1"/>
                </w:rPr>
                <w:t>Proposal</w:t>
              </w:r>
            </w:hyperlink>
            <w:r w:rsidR="00DB4C0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(Jordan)</w:t>
            </w:r>
          </w:p>
          <w:p w14:paraId="70FA4987" w14:textId="14A4F1C4" w:rsidR="00925FB7" w:rsidRPr="00D26D84" w:rsidRDefault="00925FB7" w:rsidP="00D26D84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Maya Bartel</w:t>
            </w:r>
            <w:r w:rsidR="00D26D84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, Jordan’s graduate student, researched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what peer institutions are doing</w:t>
            </w:r>
            <w:r w:rsidR="00D26D84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with remote exams and s</w:t>
            </w:r>
            <w:r w:rsidRPr="00D26D84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ynthesized</w:t>
            </w:r>
            <w:r w:rsidR="00D26D84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the</w:t>
            </w:r>
            <w:r w:rsidRPr="00D26D84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information</w:t>
            </w:r>
            <w:r w:rsidR="00D26D84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14:paraId="23C6EFF4" w14:textId="32847ADD" w:rsidR="00925FB7" w:rsidRPr="00925FB7" w:rsidRDefault="00925FB7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Other institutions moving in this direction to have </w:t>
            </w:r>
            <w:r w:rsidR="00D26D84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an 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online option.</w:t>
            </w:r>
          </w:p>
          <w:p w14:paraId="45684C34" w14:textId="5B76ED4D" w:rsidR="00925FB7" w:rsidRPr="00925FB7" w:rsidRDefault="00925FB7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Discussed goals, what observers should be able to see, etc.</w:t>
            </w:r>
          </w:p>
          <w:p w14:paraId="7C7A8055" w14:textId="07F9025D" w:rsidR="00925FB7" w:rsidRPr="00925FB7" w:rsidRDefault="00D26D84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Proposal removes the need for</w:t>
            </w:r>
            <w:r w:rsidR="00925FB7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special permission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for distance participation in exams.</w:t>
            </w:r>
          </w:p>
          <w:p w14:paraId="5C5A6476" w14:textId="3F33372E" w:rsidR="00925FB7" w:rsidRPr="00925FB7" w:rsidRDefault="00925FB7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Prelim</w:t>
            </w:r>
            <w:r w:rsidR="00D26D84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inary oral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in line with final</w:t>
            </w:r>
            <w:r w:rsidR="00D26D84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oral exam.</w:t>
            </w:r>
          </w:p>
          <w:p w14:paraId="61EF1424" w14:textId="57BD2CD2" w:rsidR="00925FB7" w:rsidRPr="00BF6080" w:rsidRDefault="00925FB7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Video the preferred modality. </w:t>
            </w:r>
          </w:p>
          <w:p w14:paraId="0F6D6463" w14:textId="5884FE70" w:rsidR="00BF6080" w:rsidRPr="00BF6080" w:rsidRDefault="00BF6080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Graves </w:t>
            </w:r>
            <w:r w:rsidR="00D26D84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thanked Tera and Maya for their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work</w:t>
            </w:r>
            <w:r w:rsidR="00D26D84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and made some revisions prior to the meeting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D26D84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He summarized that Council 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could streamline policy with intent to allow for fully remote defenses and prelims or fully in person or hybrid, no special permission or pre-approval needed. Added language about reporting result of exam to GC. Rather than seek pre-approval, we would learn how common in-person vs remote vs hybrid is and survey after the fact how the exams went.</w:t>
            </w:r>
            <w:r w:rsidR="00B238C3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GC to collect info from committee. </w:t>
            </w:r>
          </w:p>
          <w:p w14:paraId="07A93CB2" w14:textId="268DAA26" w:rsidR="00BF6080" w:rsidRPr="00BF6080" w:rsidRDefault="00B238C3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Committee could r</w:t>
            </w:r>
            <w:r w:rsidR="00BF6080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eport through electronic system if they participated remotely, in person, hybrid, etc. and if exam went well. 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Importantly, the GC would need to know if the faculty were</w:t>
            </w:r>
            <w:r w:rsidR="00BF6080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there for the entirety of the exam. </w:t>
            </w:r>
          </w:p>
          <w:p w14:paraId="13BE5A67" w14:textId="1908A610" w:rsidR="00BF6080" w:rsidRPr="00BF6080" w:rsidRDefault="00BF6080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Best practices very important, but might be more effectively delivered outside the Handbook. Maybe those best practices are sent to committee, student, etc. every time exam requested.  Not policy, but a recommendation. In automated system to deliver it. </w:t>
            </w:r>
          </w:p>
          <w:p w14:paraId="7BD78315" w14:textId="25758608" w:rsidR="00BF6080" w:rsidRPr="00BF6080" w:rsidRDefault="00BF6080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Want video as well as audio if at all possible. Almost always see student asked to go to board and sketch something, create a table,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draw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a flowchart, something that is visual in nature. If not best practice, maybe mandatory that it’s not just teleconference. </w:t>
            </w:r>
          </w:p>
          <w:p w14:paraId="28A394FC" w14:textId="5A8E04B5" w:rsidR="00BF6080" w:rsidRPr="00BF6080" w:rsidRDefault="00B238C3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Cutrona: </w:t>
            </w:r>
            <w:r w:rsidR="00BF6080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Assumes that there will be an agreement between student and committee. </w:t>
            </w:r>
          </w:p>
          <w:p w14:paraId="2C49B202" w14:textId="0B8B5D98" w:rsidR="00BF6080" w:rsidRPr="00BF6080" w:rsidRDefault="00B238C3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Graves: S</w:t>
            </w:r>
            <w:r w:rsidR="00BF6080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tudents might feel pressure from faculty who want to participate remotely, 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but </w:t>
            </w:r>
            <w:r w:rsidR="00BF6080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maybe student feels uncomfortable about that. Maybe should think about emphasizing extent to which everyone has to agree so that students don’t feel </w:t>
            </w:r>
            <w:proofErr w:type="gramStart"/>
            <w:r w:rsidR="00BF6080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pressured.</w:t>
            </w:r>
            <w:proofErr w:type="gramEnd"/>
            <w:r w:rsidR="00BF6080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0D59239E" w14:textId="0AC8CCAF" w:rsidR="00BF6080" w:rsidRPr="00BF6080" w:rsidRDefault="00BF6080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Freeman: Student may decide in consultation means decided by students. Video should now be the standard. Decision made </w:t>
            </w:r>
            <w:r w:rsidR="00B238C3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about modality 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when request being made. We should know whether video, hybrid, etc. Best practice document sent only when determined to be remote or hybrid. </w:t>
            </w:r>
          </w:p>
          <w:p w14:paraId="35D2CA33" w14:textId="54610F1C" w:rsidR="00BF6080" w:rsidRPr="00BF6080" w:rsidRDefault="00BF6080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Haddad: video show</w:t>
            </w:r>
            <w:r w:rsidR="00B238C3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respect. </w:t>
            </w:r>
          </w:p>
          <w:p w14:paraId="4E685136" w14:textId="715743AA" w:rsidR="00BF6080" w:rsidRPr="008275F6" w:rsidRDefault="00B238C3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Chen: He sent a s</w:t>
            </w:r>
            <w:r w:rsidR="00BF6080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urvey to faculty for input. 13 of 15 said fully in person or fully remote as agreed between student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and committee</w:t>
            </w:r>
            <w:r w:rsidR="00BF6080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Other 2 said fully in person. </w:t>
            </w:r>
            <w:r w:rsidR="008275F6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Hybrid not working very well. </w:t>
            </w:r>
          </w:p>
          <w:p w14:paraId="2D47EB72" w14:textId="333AC982" w:rsidR="008275F6" w:rsidRPr="008275F6" w:rsidRDefault="00B238C3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Cu</w:t>
            </w:r>
            <w:r w:rsidR="008275F6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trona: fully in person or remote 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is smoother</w:t>
            </w:r>
            <w:r w:rsidR="008275F6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14:paraId="55D5170C" w14:textId="6B198DE1" w:rsidR="008275F6" w:rsidRPr="008275F6" w:rsidRDefault="00B238C3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Jordan: University of Illinois’s b</w:t>
            </w:r>
            <w:r w:rsidR="008275F6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est practices doc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ument</w:t>
            </w:r>
            <w:r w:rsidR="008275F6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might be something to consider.</w:t>
            </w:r>
          </w:p>
          <w:p w14:paraId="529FD1E7" w14:textId="4D66CC25" w:rsidR="008275F6" w:rsidRPr="008275F6" w:rsidRDefault="008275F6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Weinstein: Hybrid doesn’t have to be a nightmare if there is a clear understanding of </w:t>
            </w:r>
            <w:r w:rsidR="00B238C3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the 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situation and it’s planned for. </w:t>
            </w:r>
            <w:r w:rsidR="00B238C3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Faculty may need to be remote and student may want to be to attend in person.</w:t>
            </w:r>
          </w:p>
          <w:p w14:paraId="1A07D358" w14:textId="6C774413" w:rsidR="008275F6" w:rsidRPr="008275F6" w:rsidRDefault="008275F6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Tera and Dean revisit and adjust language</w:t>
            </w:r>
            <w:r w:rsidR="00724B9A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to next meeting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14:paraId="5BE4CD7A" w14:textId="6AE76511" w:rsidR="008275F6" w:rsidRPr="00697908" w:rsidRDefault="008275F6" w:rsidP="00925FB7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As updating, give thought to how quickly we can implement this. </w:t>
            </w:r>
          </w:p>
          <w:p w14:paraId="0EEE2CB9" w14:textId="4A1D37C2" w:rsidR="001541FB" w:rsidRDefault="00DB4C0D" w:rsidP="00DB4C0D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</w:pPr>
            <w:r>
              <w:t xml:space="preserve">Dissertation/Thesis Guidelines </w:t>
            </w:r>
            <w:hyperlink r:id="rId13" w:history="1">
              <w:r w:rsidRPr="00DB4C0D">
                <w:rPr>
                  <w:rStyle w:val="Hyperlink"/>
                </w:rPr>
                <w:t>Survey</w:t>
              </w:r>
            </w:hyperlink>
            <w:r>
              <w:t xml:space="preserve"> (Lily Compton) </w:t>
            </w:r>
          </w:p>
          <w:p w14:paraId="5DF0ED9C" w14:textId="537BBB1F" w:rsidR="008275F6" w:rsidRDefault="008275F6" w:rsidP="008275F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Background: of two templates, neither one worked well</w:t>
            </w:r>
            <w:r w:rsidR="00724B9A">
              <w:t xml:space="preserve"> for particular fields, namely fine arts and h</w:t>
            </w:r>
            <w:r>
              <w:t xml:space="preserve">istory. </w:t>
            </w:r>
          </w:p>
          <w:p w14:paraId="1EF6054F" w14:textId="768C53B3" w:rsidR="008275F6" w:rsidRDefault="008275F6" w:rsidP="008275F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Possible to propose a third template option without jeopardizing first two templates. Formatting differences for programs to follow guidelines.</w:t>
            </w:r>
          </w:p>
          <w:p w14:paraId="0073EC72" w14:textId="0CA88627" w:rsidR="008275F6" w:rsidRDefault="008275F6" w:rsidP="008275F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 xml:space="preserve">Outdated information in places, </w:t>
            </w:r>
            <w:r w:rsidR="00724B9A">
              <w:t xml:space="preserve">so these updates are also to create </w:t>
            </w:r>
            <w:r>
              <w:t>consistent language</w:t>
            </w:r>
            <w:r w:rsidR="00724B9A">
              <w:t>.</w:t>
            </w:r>
          </w:p>
          <w:p w14:paraId="2E5B1DE9" w14:textId="7BC45AFD" w:rsidR="008275F6" w:rsidRDefault="008275F6" w:rsidP="008275F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Feedbac</w:t>
            </w:r>
            <w:r w:rsidR="00724B9A">
              <w:t>k</w:t>
            </w:r>
            <w:r>
              <w:t xml:space="preserve">: </w:t>
            </w:r>
            <w:r w:rsidR="00724B9A">
              <w:t xml:space="preserve">Many students </w:t>
            </w:r>
            <w:r>
              <w:t>don’t know about resour</w:t>
            </w:r>
            <w:r w:rsidR="00607831">
              <w:t>ces and services CCE provides. These resources can help students better u</w:t>
            </w:r>
            <w:r>
              <w:t>ndersta</w:t>
            </w:r>
            <w:r w:rsidR="00607831">
              <w:t>nd why they got major revisions and serve as</w:t>
            </w:r>
            <w:r>
              <w:t xml:space="preserve"> another way to push out information. </w:t>
            </w:r>
            <w:r w:rsidR="00AD7D86">
              <w:t xml:space="preserve">Questions in survey to make people see third template. </w:t>
            </w:r>
          </w:p>
          <w:p w14:paraId="6B52D23B" w14:textId="3B7C0DAC" w:rsidR="00AD7D86" w:rsidRDefault="00AD7D86" w:rsidP="008275F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 xml:space="preserve">Another reason to send this out </w:t>
            </w:r>
            <w:r w:rsidR="00614567">
              <w:t xml:space="preserve">is </w:t>
            </w:r>
            <w:r>
              <w:t>because of concerns regarding outdated guidelines. Last question</w:t>
            </w:r>
            <w:r w:rsidR="00614567">
              <w:t xml:space="preserve"> on the survey </w:t>
            </w:r>
            <w:r>
              <w:t>invite</w:t>
            </w:r>
            <w:r w:rsidR="00614567">
              <w:t>s</w:t>
            </w:r>
            <w:r>
              <w:t xml:space="preserve"> people to be part of focus group. Don’t know last time that guidelines we</w:t>
            </w:r>
            <w:r w:rsidR="00614567">
              <w:t>re</w:t>
            </w:r>
            <w:r>
              <w:t xml:space="preserve"> evaluated. Do we still need double-spacing, for example? Compton can provide rationale for both sides. With focus group, will get both sides, too, and listen to concerns. Look up practices, journal formats, </w:t>
            </w:r>
            <w:r w:rsidR="00614567">
              <w:t>etc. and give Council rationale. Then it will be</w:t>
            </w:r>
            <w:r>
              <w:t xml:space="preserve"> up to Council to decide. </w:t>
            </w:r>
          </w:p>
          <w:p w14:paraId="2A232707" w14:textId="01A20379" w:rsidR="00AD7D86" w:rsidRDefault="00AD7D86" w:rsidP="008275F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 xml:space="preserve">Click as many programs as apply to your situation. </w:t>
            </w:r>
          </w:p>
          <w:p w14:paraId="3F6BF26D" w14:textId="01F5C2EE" w:rsidR="00AD7D86" w:rsidRDefault="00AD7D86" w:rsidP="008275F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First question: will take time to gather responses. If there are</w:t>
            </w:r>
            <w:r w:rsidR="00614567">
              <w:t xml:space="preserve"> objections to third template, they’ll have a f</w:t>
            </w:r>
            <w:r>
              <w:t xml:space="preserve">ocus group later. </w:t>
            </w:r>
          </w:p>
          <w:p w14:paraId="166249C5" w14:textId="0554A8DB" w:rsidR="00AD7D86" w:rsidRDefault="00AD7D86" w:rsidP="008275F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 xml:space="preserve">Bring template feedback rather than waiting. Can always make adjustments later. With third template, most things are preset. Things can be changed, minor tweaks done later based on feedback. </w:t>
            </w:r>
          </w:p>
          <w:p w14:paraId="1BDE974D" w14:textId="541C8BA8" w:rsidR="00AD7D86" w:rsidRDefault="00AD7D86" w:rsidP="008275F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Next step to send out surveys with deadline and look at data in Oct.</w:t>
            </w:r>
          </w:p>
          <w:p w14:paraId="66267FE0" w14:textId="50198FC0" w:rsidR="00AD7D86" w:rsidRDefault="00AD7D86" w:rsidP="008275F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Chen: GC send out automatically when student forms POSC and is approved, auto send notice about thesis/diss</w:t>
            </w:r>
            <w:r w:rsidR="00614567">
              <w:t>ertation</w:t>
            </w:r>
            <w:r>
              <w:t xml:space="preserve"> templates. </w:t>
            </w:r>
          </w:p>
          <w:p w14:paraId="4E9A58BC" w14:textId="353C32A0" w:rsidR="00DB4C0D" w:rsidRDefault="008F24A4" w:rsidP="00DB4C0D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</w:pPr>
            <w:hyperlink r:id="rId14" w:history="1">
              <w:r w:rsidR="002A385C" w:rsidRPr="00B34328">
                <w:rPr>
                  <w:rStyle w:val="Hyperlink"/>
                </w:rPr>
                <w:t>Associate Graduate Faculty requesting Full Membership</w:t>
              </w:r>
            </w:hyperlink>
            <w:r w:rsidR="00B34328">
              <w:t xml:space="preserve"> (Freeman)</w:t>
            </w:r>
          </w:p>
          <w:p w14:paraId="616F0455" w14:textId="1271DF22" w:rsidR="00AD7D86" w:rsidRDefault="00AD7D86" w:rsidP="00AD7D8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Under current policy, exceptional circumstances, but no description of how those are met. Outlined what the expectations are. Serve as co-</w:t>
            </w:r>
            <w:proofErr w:type="spellStart"/>
            <w:r>
              <w:t>mp</w:t>
            </w:r>
            <w:proofErr w:type="spellEnd"/>
            <w:r>
              <w:t xml:space="preserve"> for at least 3 students, total of at least 5 POS committees. First step to request full grad faculty status. </w:t>
            </w:r>
            <w:r w:rsidR="00600132">
              <w:t xml:space="preserve">If </w:t>
            </w:r>
            <w:r w:rsidR="00614567">
              <w:t>wishing to serve as a stand-</w:t>
            </w:r>
            <w:r w:rsidR="00600132">
              <w:t xml:space="preserve">alone </w:t>
            </w:r>
            <w:proofErr w:type="spellStart"/>
            <w:r w:rsidR="00600132">
              <w:t>mp</w:t>
            </w:r>
            <w:proofErr w:type="spellEnd"/>
            <w:r w:rsidR="00600132">
              <w:t xml:space="preserve">, need research support within their discipline to support student success. </w:t>
            </w:r>
          </w:p>
          <w:p w14:paraId="04654299" w14:textId="2DF283CB" w:rsidR="00600132" w:rsidRDefault="00600132" w:rsidP="00AD7D8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 xml:space="preserve">Cutrona: Grant funding required is varied by discipline. Being supported as a TA would fall into this guidance. </w:t>
            </w:r>
          </w:p>
          <w:p w14:paraId="4BB6C2BC" w14:textId="652D2839" w:rsidR="00600132" w:rsidRDefault="00600132" w:rsidP="00AD7D8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 xml:space="preserve">Bailey: When read first time, thought the same thing about funding student. Maybe language tweaked slightly. If funding not expectation in the discipline, then not expectation for full </w:t>
            </w:r>
            <w:r w:rsidR="00614567">
              <w:t xml:space="preserve">membership, </w:t>
            </w:r>
            <w:r>
              <w:t>either. Not differential expectations for tenure/TT.</w:t>
            </w:r>
          </w:p>
          <w:p w14:paraId="11C76B22" w14:textId="611A604C" w:rsidR="00600132" w:rsidRDefault="00600132" w:rsidP="00AD7D8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lastRenderedPageBreak/>
              <w:t>Chen: Why co-</w:t>
            </w:r>
            <w:proofErr w:type="spellStart"/>
            <w:r>
              <w:t>mp</w:t>
            </w:r>
            <w:proofErr w:type="spellEnd"/>
            <w:r>
              <w:t xml:space="preserve"> for at least 3 students, at least 1 Ph.D. Some programs without a Ph.D., so why isn’t that included</w:t>
            </w:r>
            <w:r w:rsidR="00614567">
              <w:t>?</w:t>
            </w:r>
            <w:r>
              <w:t xml:space="preserve"> Associate only allows co-</w:t>
            </w:r>
            <w:proofErr w:type="spellStart"/>
            <w:r>
              <w:t>mp</w:t>
            </w:r>
            <w:proofErr w:type="spellEnd"/>
            <w:r>
              <w:t xml:space="preserve"> right now, not standalone</w:t>
            </w:r>
            <w:r w:rsidR="00614567">
              <w:t xml:space="preserve"> for thesis degrees</w:t>
            </w:r>
            <w:r>
              <w:t>.</w:t>
            </w:r>
          </w:p>
          <w:p w14:paraId="3F0588B7" w14:textId="16BA4BE8" w:rsidR="00600132" w:rsidRDefault="00600132" w:rsidP="00AD7D8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 xml:space="preserve">Chen: DOGE doesn’t deal with faculty in Chen’s department. PMT committee considering request, but suggest committee look at GC Handbook. </w:t>
            </w:r>
          </w:p>
          <w:p w14:paraId="03FED076" w14:textId="6388375F" w:rsidR="00600132" w:rsidRDefault="00600132" w:rsidP="00AD7D8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Procedures: providing summary of what they have done as part of request. Sentence</w:t>
            </w:r>
            <w:r w:rsidR="003609FF">
              <w:t xml:space="preserve"> taken</w:t>
            </w:r>
            <w:r>
              <w:t xml:space="preserve"> out is the support letter from the PMT committee. PMT commit</w:t>
            </w:r>
            <w:r w:rsidR="003609FF">
              <w:t>tee doesn’t have a role here because Associate Graduate Faculty is</w:t>
            </w:r>
            <w:r>
              <w:t xml:space="preserve"> not a promotion decision. </w:t>
            </w:r>
          </w:p>
          <w:p w14:paraId="516F4DC8" w14:textId="26ABE9FE" w:rsidR="00600132" w:rsidRDefault="00600132" w:rsidP="00AD7D8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If anyone has better language about the funding and support language,</w:t>
            </w:r>
            <w:r w:rsidR="003609FF">
              <w:t xml:space="preserve"> s</w:t>
            </w:r>
            <w:r>
              <w:t xml:space="preserve">end that to Freeman and Adams. </w:t>
            </w:r>
          </w:p>
          <w:p w14:paraId="63EB7C7D" w14:textId="0223E2DB" w:rsidR="00600132" w:rsidRDefault="00600132" w:rsidP="00AD7D86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Hirschman: language around co-</w:t>
            </w:r>
            <w:proofErr w:type="spellStart"/>
            <w:r>
              <w:t>mp</w:t>
            </w:r>
            <w:proofErr w:type="spellEnd"/>
            <w:r>
              <w:t xml:space="preserve"> for 3</w:t>
            </w:r>
            <w:r w:rsidR="003609FF">
              <w:t xml:space="preserve"> students</w:t>
            </w:r>
            <w:r>
              <w:t xml:space="preserve"> and 5 in addition? Or is it only 5 total</w:t>
            </w:r>
            <w:r w:rsidR="003609FF">
              <w:t xml:space="preserve"> students</w:t>
            </w:r>
            <w:r>
              <w:t xml:space="preserve"> all that’s needed. </w:t>
            </w:r>
            <w:r w:rsidR="003609FF">
              <w:t>Freeman confirmed it’s a total of 5 student committees.</w:t>
            </w:r>
          </w:p>
          <w:p w14:paraId="1550D26B" w14:textId="77777777" w:rsidR="00B34328" w:rsidRPr="00600132" w:rsidRDefault="008F24A4" w:rsidP="00DB4C0D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</w:pPr>
            <w:hyperlink r:id="rId15" w:history="1">
              <w:r w:rsidR="00B34328" w:rsidRPr="00B34328">
                <w:rPr>
                  <w:rStyle w:val="Hyperlink"/>
                  <w:shd w:val="clear" w:color="auto" w:fill="FFFFFF"/>
                </w:rPr>
                <w:t>Enrollment and Registration</w:t>
              </w:r>
            </w:hyperlink>
            <w:r w:rsidR="00B34328">
              <w:rPr>
                <w:color w:val="201F1E"/>
                <w:shd w:val="clear" w:color="auto" w:fill="FFFFFF"/>
              </w:rPr>
              <w:t xml:space="preserve"> (Hirschman)</w:t>
            </w:r>
          </w:p>
          <w:p w14:paraId="18CDDEF8" w14:textId="5D353410" w:rsidR="00600132" w:rsidRDefault="003609FF" w:rsidP="00600132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Credit limit conversations have been ongoing</w:t>
            </w:r>
            <w:r w:rsidR="00600132">
              <w:t>,</w:t>
            </w:r>
            <w:r>
              <w:t xml:space="preserve"> and the Graduate College is concerned about</w:t>
            </w:r>
            <w:r w:rsidR="00600132">
              <w:t xml:space="preserve"> what makes a student full time</w:t>
            </w:r>
            <w:r>
              <w:t>. Hirschman r</w:t>
            </w:r>
            <w:r w:rsidR="008379F9">
              <w:t>eorganized to make chapter clearer</w:t>
            </w:r>
            <w:r>
              <w:t>.</w:t>
            </w:r>
          </w:p>
          <w:p w14:paraId="5524900F" w14:textId="77777777" w:rsidR="008379F9" w:rsidRDefault="008379F9" w:rsidP="00600132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Schedule changes through Registrar. GC only included for exceptions.</w:t>
            </w:r>
          </w:p>
          <w:p w14:paraId="443185CD" w14:textId="39CE117E" w:rsidR="008379F9" w:rsidRDefault="008379F9" w:rsidP="00600132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Consolidate withdrawal section. We do not admin</w:t>
            </w:r>
            <w:r w:rsidR="003609FF">
              <w:t>ister the withdrawal</w:t>
            </w:r>
            <w:r>
              <w:t xml:space="preserve"> process</w:t>
            </w:r>
            <w:r w:rsidR="003609FF">
              <w:t>.</w:t>
            </w:r>
          </w:p>
          <w:p w14:paraId="1CBC7B8B" w14:textId="1C8B57FB" w:rsidR="008379F9" w:rsidRDefault="008379F9" w:rsidP="00600132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 xml:space="preserve">680 </w:t>
            </w:r>
            <w:r w:rsidR="003609FF">
              <w:t xml:space="preserve">to be treated </w:t>
            </w:r>
            <w:r>
              <w:t>as a leave of absence</w:t>
            </w:r>
            <w:r w:rsidR="003609FF">
              <w:t>.</w:t>
            </w:r>
          </w:p>
          <w:p w14:paraId="677FE34F" w14:textId="28BAF40E" w:rsidR="008379F9" w:rsidRDefault="008379F9" w:rsidP="00600132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Tuition and fees not administered by GC</w:t>
            </w:r>
            <w:r w:rsidR="003609FF">
              <w:t>.</w:t>
            </w:r>
          </w:p>
          <w:p w14:paraId="735535B9" w14:textId="0D5E65DE" w:rsidR="008379F9" w:rsidRDefault="003609FF" w:rsidP="00600132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All assistantship-</w:t>
            </w:r>
            <w:r w:rsidR="008379F9">
              <w:t>related items</w:t>
            </w:r>
            <w:r>
              <w:t xml:space="preserve"> are now</w:t>
            </w:r>
            <w:r w:rsidR="008379F9">
              <w:t xml:space="preserve"> together</w:t>
            </w:r>
            <w:r>
              <w:t xml:space="preserve"> in the Handbook. This is a proposal</w:t>
            </w:r>
            <w:r w:rsidR="008379F9">
              <w:t xml:space="preserve"> to remove </w:t>
            </w:r>
            <w:r>
              <w:t xml:space="preserve">those items </w:t>
            </w:r>
            <w:r w:rsidR="008379F9">
              <w:t>from Ch</w:t>
            </w:r>
            <w:r>
              <w:t xml:space="preserve">. </w:t>
            </w:r>
            <w:r w:rsidR="008379F9">
              <w:t>2 and move to Ch</w:t>
            </w:r>
            <w:r>
              <w:t>.</w:t>
            </w:r>
            <w:r w:rsidR="008379F9">
              <w:t xml:space="preserve"> 3.</w:t>
            </w:r>
          </w:p>
          <w:p w14:paraId="6AE6D093" w14:textId="286D5656" w:rsidR="008379F9" w:rsidRDefault="008379F9" w:rsidP="00600132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Residency is with Registrar, so remove</w:t>
            </w:r>
            <w:r w:rsidR="003609FF">
              <w:t xml:space="preserve"> that information as well</w:t>
            </w:r>
            <w:r>
              <w:t xml:space="preserve">. </w:t>
            </w:r>
          </w:p>
          <w:p w14:paraId="2F754221" w14:textId="5DDBFF6C" w:rsidR="008379F9" w:rsidRDefault="008379F9" w:rsidP="00600132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Looking for feedback if Council wants to move forward</w:t>
            </w:r>
            <w:r w:rsidR="003609FF">
              <w:t xml:space="preserve"> with the reorganization of the Handbook chapter</w:t>
            </w:r>
            <w:r>
              <w:t>.</w:t>
            </w:r>
          </w:p>
          <w:p w14:paraId="0608BAE6" w14:textId="49A495C2" w:rsidR="008379F9" w:rsidRPr="00255A3F" w:rsidRDefault="008379F9" w:rsidP="003609FF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</w:pPr>
            <w:r>
              <w:t>Freeman: Zero policy changes</w:t>
            </w:r>
            <w:r w:rsidR="003609FF">
              <w:t>, so would like to move forward</w:t>
            </w:r>
            <w:r>
              <w:t xml:space="preserve"> as soon as possible. Policy changes would need to be dealt with separately. Nothing to discuss. </w:t>
            </w:r>
          </w:p>
        </w:tc>
        <w:tc>
          <w:tcPr>
            <w:tcW w:w="2340" w:type="dxa"/>
          </w:tcPr>
          <w:p w14:paraId="17F6B11F" w14:textId="1D192939" w:rsidR="00FF73C6" w:rsidRDefault="00C9568F">
            <w:pPr>
              <w:pStyle w:val="TableParagraph"/>
              <w:ind w:left="105"/>
            </w:pPr>
            <w:r>
              <w:lastRenderedPageBreak/>
              <w:t>Adams</w:t>
            </w:r>
            <w:r w:rsidR="00B34328">
              <w:t>, Jordan, Compton, Freeman, Hirschman</w:t>
            </w:r>
          </w:p>
        </w:tc>
      </w:tr>
      <w:tr w:rsidR="004357B6" w14:paraId="265F45E0" w14:textId="77777777">
        <w:trPr>
          <w:trHeight w:val="1389"/>
        </w:trPr>
        <w:tc>
          <w:tcPr>
            <w:tcW w:w="900" w:type="dxa"/>
          </w:tcPr>
          <w:p w14:paraId="035A1B8B" w14:textId="77777777" w:rsidR="004357B6" w:rsidRDefault="00D732B0" w:rsidP="004357B6">
            <w:pPr>
              <w:pStyle w:val="TableParagraph"/>
              <w:ind w:left="0"/>
            </w:pPr>
            <w:r>
              <w:lastRenderedPageBreak/>
              <w:t xml:space="preserve"> 4:40</w:t>
            </w:r>
          </w:p>
        </w:tc>
        <w:tc>
          <w:tcPr>
            <w:tcW w:w="7471" w:type="dxa"/>
          </w:tcPr>
          <w:p w14:paraId="32DF5CAB" w14:textId="77777777" w:rsidR="004357B6" w:rsidRDefault="004357B6">
            <w:pPr>
              <w:pStyle w:val="TableParagraph"/>
            </w:pPr>
            <w:r>
              <w:t>New Business</w:t>
            </w:r>
          </w:p>
          <w:p w14:paraId="2B06ADFE" w14:textId="790FAF39" w:rsidR="005F6FC6" w:rsidRPr="002A385C" w:rsidRDefault="002A385C" w:rsidP="002E3A8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201F1E"/>
                <w:shd w:val="clear" w:color="auto" w:fill="FFFFFF"/>
              </w:rPr>
              <w:t>D</w:t>
            </w:r>
            <w:r w:rsidR="00DB4C0D">
              <w:rPr>
                <w:color w:val="201F1E"/>
                <w:shd w:val="clear" w:color="auto" w:fill="FFFFFF"/>
              </w:rPr>
              <w:t>iscussion of student insurance/worker’s compensation</w:t>
            </w:r>
            <w:r w:rsidR="00B34328">
              <w:rPr>
                <w:color w:val="201F1E"/>
                <w:shd w:val="clear" w:color="auto" w:fill="FFFFFF"/>
              </w:rPr>
              <w:t xml:space="preserve"> (Adams, Graves)</w:t>
            </w:r>
            <w:r w:rsidR="00CA7295">
              <w:rPr>
                <w:color w:val="201F1E"/>
                <w:shd w:val="clear" w:color="auto" w:fill="FFFFFF"/>
              </w:rPr>
              <w:t xml:space="preserve"> – postponed to Oct</w:t>
            </w:r>
            <w:r w:rsidR="003609FF">
              <w:rPr>
                <w:color w:val="201F1E"/>
                <w:shd w:val="clear" w:color="auto" w:fill="FFFFFF"/>
              </w:rPr>
              <w:t>ober meeting.</w:t>
            </w:r>
          </w:p>
          <w:p w14:paraId="111DD7B9" w14:textId="7E986310" w:rsidR="002A385C" w:rsidRPr="002A385C" w:rsidRDefault="008F24A4" w:rsidP="002E3A8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2A385C" w:rsidRPr="00B34328">
                <w:rPr>
                  <w:rStyle w:val="Hyperlink"/>
                  <w:shd w:val="clear" w:color="auto" w:fill="FFFFFF"/>
                </w:rPr>
                <w:t>Graduate tuition scholarship policy</w:t>
              </w:r>
            </w:hyperlink>
            <w:r w:rsidR="00B34328">
              <w:rPr>
                <w:color w:val="201F1E"/>
                <w:shd w:val="clear" w:color="auto" w:fill="FFFFFF"/>
              </w:rPr>
              <w:t xml:space="preserve"> (Adams and Graves)</w:t>
            </w:r>
            <w:r w:rsidR="00CA7295">
              <w:rPr>
                <w:color w:val="201F1E"/>
                <w:shd w:val="clear" w:color="auto" w:fill="FFFFFF"/>
              </w:rPr>
              <w:t xml:space="preserve"> – postponed to Oct</w:t>
            </w:r>
            <w:r w:rsidR="003609FF">
              <w:rPr>
                <w:color w:val="201F1E"/>
                <w:shd w:val="clear" w:color="auto" w:fill="FFFFFF"/>
              </w:rPr>
              <w:t>ober meeting.</w:t>
            </w:r>
          </w:p>
          <w:p w14:paraId="3DF2D64D" w14:textId="7E89FD6D" w:rsidR="002A385C" w:rsidRPr="002E3A8F" w:rsidRDefault="002A385C" w:rsidP="00B34328">
            <w:pPr>
              <w:widowControl/>
              <w:shd w:val="clear" w:color="auto" w:fill="FFFFFF"/>
              <w:autoSpaceDE/>
              <w:autoSpaceDN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8141B12" w14:textId="1A8E550E" w:rsidR="004357B6" w:rsidRDefault="002A385C">
            <w:pPr>
              <w:pStyle w:val="TableParagraph"/>
              <w:ind w:left="105"/>
            </w:pPr>
            <w:r>
              <w:t>Adams, Graves</w:t>
            </w:r>
            <w:r w:rsidR="00B34328">
              <w:t xml:space="preserve"> </w:t>
            </w:r>
          </w:p>
        </w:tc>
      </w:tr>
      <w:tr w:rsidR="00DE306E" w14:paraId="7D07C7A7" w14:textId="77777777">
        <w:trPr>
          <w:trHeight w:val="1377"/>
        </w:trPr>
        <w:tc>
          <w:tcPr>
            <w:tcW w:w="900" w:type="dxa"/>
          </w:tcPr>
          <w:p w14:paraId="30086F07" w14:textId="77777777" w:rsidR="00DE306E" w:rsidRDefault="00DE306E" w:rsidP="00DE306E">
            <w:pPr>
              <w:pStyle w:val="TableParagraph"/>
            </w:pPr>
            <w:r>
              <w:t>5:25</w:t>
            </w:r>
          </w:p>
        </w:tc>
        <w:tc>
          <w:tcPr>
            <w:tcW w:w="7471" w:type="dxa"/>
          </w:tcPr>
          <w:p w14:paraId="310F5F12" w14:textId="77777777" w:rsidR="00DE306E" w:rsidRDefault="00DE306E" w:rsidP="00DE306E">
            <w:pPr>
              <w:pStyle w:val="TableParagraph"/>
              <w:spacing w:before="1" w:line="240" w:lineRule="auto"/>
            </w:pPr>
            <w:r>
              <w:t>Other Items/Issues</w:t>
            </w:r>
          </w:p>
          <w:p w14:paraId="5729BE5D" w14:textId="77777777" w:rsidR="002A385C" w:rsidRDefault="002A385C" w:rsidP="002A385C">
            <w:pPr>
              <w:pStyle w:val="TableParagraph"/>
              <w:numPr>
                <w:ilvl w:val="0"/>
                <w:numId w:val="26"/>
              </w:numPr>
              <w:spacing w:before="1" w:line="240" w:lineRule="auto"/>
            </w:pPr>
            <w:r>
              <w:t>Rachel Smith, Impact of COVID-19 on Graduate Education</w:t>
            </w:r>
          </w:p>
          <w:p w14:paraId="78708314" w14:textId="0B3FD2D7" w:rsidR="00CA7295" w:rsidRDefault="00CA7295" w:rsidP="00CA7295">
            <w:pPr>
              <w:pStyle w:val="TableParagraph"/>
              <w:numPr>
                <w:ilvl w:val="1"/>
                <w:numId w:val="26"/>
              </w:numPr>
              <w:spacing w:before="1" w:line="240" w:lineRule="auto"/>
            </w:pPr>
            <w:r>
              <w:t>Ass</w:t>
            </w:r>
            <w:r w:rsidR="009A1765">
              <w:t>is</w:t>
            </w:r>
            <w:r>
              <w:t>t</w:t>
            </w:r>
            <w:r w:rsidR="009A1765">
              <w:t>ant</w:t>
            </w:r>
            <w:r>
              <w:t xml:space="preserve"> Prof</w:t>
            </w:r>
            <w:r w:rsidR="009A1765">
              <w:t>essor</w:t>
            </w:r>
            <w:r>
              <w:t xml:space="preserve"> in SOE</w:t>
            </w:r>
          </w:p>
          <w:p w14:paraId="0951E577" w14:textId="2CAC5553" w:rsidR="00CA7295" w:rsidRDefault="00CA7295" w:rsidP="00CA7295">
            <w:pPr>
              <w:pStyle w:val="TableParagraph"/>
              <w:numPr>
                <w:ilvl w:val="1"/>
                <w:numId w:val="26"/>
              </w:numPr>
              <w:spacing w:before="1" w:line="240" w:lineRule="auto"/>
            </w:pPr>
            <w:r>
              <w:t>Survey</w:t>
            </w:r>
            <w:r w:rsidR="009A1765">
              <w:t xml:space="preserve"> of graduate students in all fields, all degree programs, and 12 institutions comparable to ISU’s profile in June and July in 2020. All </w:t>
            </w:r>
            <w:r>
              <w:t xml:space="preserve">follow up </w:t>
            </w:r>
            <w:r w:rsidR="009A1765">
              <w:t xml:space="preserve">was </w:t>
            </w:r>
            <w:r>
              <w:t>to</w:t>
            </w:r>
            <w:r w:rsidR="009A1765">
              <w:t xml:space="preserve"> the</w:t>
            </w:r>
            <w:r>
              <w:t xml:space="preserve"> same participants.</w:t>
            </w:r>
          </w:p>
          <w:p w14:paraId="1B42FED5" w14:textId="3EB57FE2" w:rsidR="00CA7295" w:rsidRDefault="00CA7295" w:rsidP="00CA7295">
            <w:pPr>
              <w:pStyle w:val="TableParagraph"/>
              <w:numPr>
                <w:ilvl w:val="1"/>
                <w:numId w:val="26"/>
              </w:numPr>
              <w:spacing w:before="1" w:line="240" w:lineRule="auto"/>
            </w:pPr>
            <w:r>
              <w:t xml:space="preserve">Summer 2020: student mental health not good; about 1/3 </w:t>
            </w:r>
            <w:r w:rsidR="009A1765">
              <w:t xml:space="preserve">experienced </w:t>
            </w:r>
            <w:r>
              <w:t>symptoms like P</w:t>
            </w:r>
            <w:r w:rsidR="009A1765">
              <w:t>TSD, anxiety, depression, etc. f</w:t>
            </w:r>
            <w:r>
              <w:t>ollowing ICE order,</w:t>
            </w:r>
            <w:r w:rsidR="009A1765">
              <w:t xml:space="preserve"> </w:t>
            </w:r>
            <w:r>
              <w:t>murder of George Floyd, COVID19, food and housing insecurity</w:t>
            </w:r>
            <w:r w:rsidR="009A1765">
              <w:t>, etc.</w:t>
            </w:r>
          </w:p>
          <w:p w14:paraId="64F73B6C" w14:textId="53F7CE5A" w:rsidR="00CA7295" w:rsidRDefault="00CA7295" w:rsidP="00CA7295">
            <w:pPr>
              <w:pStyle w:val="TableParagraph"/>
              <w:numPr>
                <w:ilvl w:val="1"/>
                <w:numId w:val="26"/>
              </w:numPr>
              <w:spacing w:before="1" w:line="240" w:lineRule="auto"/>
            </w:pPr>
            <w:r>
              <w:t>Many planning degree delays, particularly Ph.D.; more pessimistic about careers</w:t>
            </w:r>
            <w:r w:rsidR="009A1765">
              <w:t>.</w:t>
            </w:r>
          </w:p>
          <w:p w14:paraId="69ECF7E7" w14:textId="2143FB6B" w:rsidR="00CA7295" w:rsidRDefault="00CA7295" w:rsidP="00CA7295">
            <w:pPr>
              <w:pStyle w:val="TableParagraph"/>
              <w:numPr>
                <w:ilvl w:val="1"/>
                <w:numId w:val="26"/>
              </w:numPr>
              <w:spacing w:before="1" w:line="240" w:lineRule="auto"/>
            </w:pPr>
            <w:r>
              <w:t xml:space="preserve">Felt more support from those closer </w:t>
            </w:r>
            <w:r w:rsidR="009A1765">
              <w:t xml:space="preserve">to them </w:t>
            </w:r>
            <w:r>
              <w:t xml:space="preserve">in </w:t>
            </w:r>
            <w:r w:rsidR="009A1765">
              <w:t xml:space="preserve">their </w:t>
            </w:r>
            <w:r>
              <w:t>org</w:t>
            </w:r>
            <w:r w:rsidR="009A1765">
              <w:t>.</w:t>
            </w:r>
            <w:r>
              <w:t xml:space="preserve"> chart. </w:t>
            </w:r>
            <w:r>
              <w:lastRenderedPageBreak/>
              <w:t>Univ</w:t>
            </w:r>
            <w:r w:rsidR="009A1765">
              <w:t>ersity</w:t>
            </w:r>
            <w:r>
              <w:t>-level admin</w:t>
            </w:r>
            <w:r w:rsidR="009A1765">
              <w:t>istration provided</w:t>
            </w:r>
            <w:r>
              <w:t xml:space="preserve"> less support. Support also varies by context. Support in research but maybe not personal</w:t>
            </w:r>
            <w:r w:rsidR="009A1765">
              <w:t xml:space="preserve"> from faculty.</w:t>
            </w:r>
            <w:r>
              <w:t xml:space="preserve"> </w:t>
            </w:r>
          </w:p>
          <w:p w14:paraId="6FC33FEB" w14:textId="1AB35EF2" w:rsidR="00CA7295" w:rsidRDefault="00CA7295" w:rsidP="00CA7295">
            <w:pPr>
              <w:pStyle w:val="TableParagraph"/>
              <w:numPr>
                <w:ilvl w:val="1"/>
                <w:numId w:val="26"/>
              </w:numPr>
              <w:spacing w:before="1" w:line="240" w:lineRule="auto"/>
            </w:pPr>
            <w:r>
              <w:t xml:space="preserve">Ph.D. </w:t>
            </w:r>
            <w:r w:rsidR="009A1765">
              <w:t>students experienced highest</w:t>
            </w:r>
            <w:r>
              <w:t xml:space="preserve"> levels of negative mental health, esp</w:t>
            </w:r>
            <w:r w:rsidR="009A1765">
              <w:t>ecially</w:t>
            </w:r>
            <w:r>
              <w:t xml:space="preserve"> </w:t>
            </w:r>
            <w:r w:rsidR="009A1765">
              <w:t xml:space="preserve">students with </w:t>
            </w:r>
            <w:proofErr w:type="spellStart"/>
            <w:r>
              <w:t>minoritized</w:t>
            </w:r>
            <w:proofErr w:type="spellEnd"/>
            <w:r>
              <w:t xml:space="preserve"> </w:t>
            </w:r>
            <w:r w:rsidR="009A1765">
              <w:t xml:space="preserve">identities, i.e. LGBT, </w:t>
            </w:r>
            <w:proofErr w:type="spellStart"/>
            <w:r w:rsidR="009A1765">
              <w:t>Latinx</w:t>
            </w:r>
            <w:proofErr w:type="spellEnd"/>
            <w:r w:rsidR="009A1765">
              <w:t xml:space="preserve"> communities reported</w:t>
            </w:r>
            <w:r>
              <w:t xml:space="preserve"> 2-3x higher </w:t>
            </w:r>
            <w:r w:rsidR="009A1765">
              <w:t xml:space="preserve">instances of negative mental health </w:t>
            </w:r>
            <w:r>
              <w:t>than</w:t>
            </w:r>
            <w:r w:rsidR="009A1765">
              <w:t xml:space="preserve"> in 2017. Whether a Ph.D. student was a c</w:t>
            </w:r>
            <w:r>
              <w:t>andidate vs</w:t>
            </w:r>
            <w:r w:rsidR="009A1765">
              <w:t>.</w:t>
            </w:r>
            <w:r>
              <w:t xml:space="preserve"> pre-candidate and being first gen</w:t>
            </w:r>
            <w:r w:rsidR="009A1765">
              <w:t>eration also</w:t>
            </w:r>
            <w:r>
              <w:t xml:space="preserve"> created more delays. Importance of role of adviser</w:t>
            </w:r>
            <w:r w:rsidR="009A1765">
              <w:t xml:space="preserve"> was stressed throughout the survey responses</w:t>
            </w:r>
            <w:r>
              <w:t xml:space="preserve">. </w:t>
            </w:r>
          </w:p>
          <w:p w14:paraId="7039BB41" w14:textId="01AB8C78" w:rsidR="008F24A4" w:rsidRDefault="009A1765" w:rsidP="00CA7295">
            <w:pPr>
              <w:pStyle w:val="TableParagraph"/>
              <w:numPr>
                <w:ilvl w:val="1"/>
                <w:numId w:val="26"/>
              </w:numPr>
              <w:spacing w:before="1" w:line="240" w:lineRule="auto"/>
            </w:pPr>
            <w:r>
              <w:t>Change from s</w:t>
            </w:r>
            <w:r w:rsidR="00CA7295">
              <w:t>ummer 2020 and 2021</w:t>
            </w:r>
            <w:r w:rsidR="008F24A4">
              <w:t>;</w:t>
            </w:r>
            <w:r w:rsidR="00CA7295">
              <w:t xml:space="preserve"> little higher extended degree timeline</w:t>
            </w:r>
            <w:r w:rsidR="008F24A4">
              <w:t xml:space="preserve"> in 2021 than in 2020</w:t>
            </w:r>
            <w:r w:rsidR="00CA7295">
              <w:t xml:space="preserve">. </w:t>
            </w:r>
          </w:p>
          <w:p w14:paraId="27034EFE" w14:textId="62F51BD6" w:rsidR="00CA7295" w:rsidRDefault="00CA7295" w:rsidP="00CA7295">
            <w:pPr>
              <w:pStyle w:val="TableParagraph"/>
              <w:numPr>
                <w:ilvl w:val="1"/>
                <w:numId w:val="26"/>
              </w:numPr>
              <w:spacing w:before="1" w:line="240" w:lineRule="auto"/>
            </w:pPr>
            <w:r>
              <w:t xml:space="preserve">17-34% looking at career changes, and career pessimism is higher. </w:t>
            </w:r>
          </w:p>
          <w:p w14:paraId="4AE8A9E1" w14:textId="16AAB96F" w:rsidR="00CA7295" w:rsidRDefault="00CA7295" w:rsidP="00CA7295">
            <w:pPr>
              <w:pStyle w:val="TableParagraph"/>
              <w:numPr>
                <w:ilvl w:val="1"/>
                <w:numId w:val="26"/>
              </w:numPr>
              <w:spacing w:before="1" w:line="240" w:lineRule="auto"/>
            </w:pPr>
            <w:r>
              <w:t>Depressions, anxiety slightly down</w:t>
            </w:r>
            <w:r w:rsidR="008F24A4">
              <w:t xml:space="preserve"> from 2020 to 2021.</w:t>
            </w:r>
          </w:p>
          <w:p w14:paraId="5632B7BC" w14:textId="77777777" w:rsidR="00CA7295" w:rsidRDefault="00CA7295" w:rsidP="00CA7295">
            <w:pPr>
              <w:pStyle w:val="TableParagraph"/>
              <w:numPr>
                <w:ilvl w:val="1"/>
                <w:numId w:val="26"/>
              </w:numPr>
              <w:spacing w:before="1" w:line="240" w:lineRule="auto"/>
            </w:pPr>
            <w:r>
              <w:t xml:space="preserve">About 9% lost someone to COVID, 7% had it. 93% fully vaccinated. </w:t>
            </w:r>
          </w:p>
          <w:p w14:paraId="5289918F" w14:textId="772750A5" w:rsidR="00CA7295" w:rsidRDefault="00CA7295" w:rsidP="00CA7295">
            <w:pPr>
              <w:pStyle w:val="TableParagraph"/>
              <w:numPr>
                <w:ilvl w:val="1"/>
                <w:numId w:val="26"/>
              </w:numPr>
              <w:spacing w:before="1" w:line="240" w:lineRule="auto"/>
            </w:pPr>
            <w:r>
              <w:t>Productivity pressures, burnout, exhaustion.</w:t>
            </w:r>
            <w:r w:rsidR="008F24A4">
              <w:t xml:space="preserve"> Reported feeling r</w:t>
            </w:r>
            <w:r>
              <w:t>obotic. A</w:t>
            </w:r>
            <w:r w:rsidR="008F24A4">
              <w:t>dvisers being very supportive, but felt b</w:t>
            </w:r>
            <w:r>
              <w:t>oth internal and external pressures.</w:t>
            </w:r>
          </w:p>
          <w:p w14:paraId="4E98326A" w14:textId="3E6A57C3" w:rsidR="00CA7295" w:rsidRDefault="008F24A4" w:rsidP="008F24A4">
            <w:pPr>
              <w:pStyle w:val="TableParagraph"/>
              <w:numPr>
                <w:ilvl w:val="1"/>
                <w:numId w:val="26"/>
              </w:numPr>
              <w:spacing w:before="1" w:line="240" w:lineRule="auto"/>
            </w:pPr>
            <w:r>
              <w:t>Ways we can help graduate students we serve: provide e</w:t>
            </w:r>
            <w:r w:rsidR="00CA7295">
              <w:t>conomic support</w:t>
            </w:r>
            <w:r>
              <w:t xml:space="preserve"> and finance </w:t>
            </w:r>
            <w:r w:rsidR="00CA7295">
              <w:t>degrees. C</w:t>
            </w:r>
            <w:r>
              <w:t>ommunicate clearly with graduate students, sustain community with advisers and</w:t>
            </w:r>
            <w:r w:rsidR="00CA7295">
              <w:t xml:space="preserve"> peers</w:t>
            </w:r>
            <w:r>
              <w:t xml:space="preserve">, and talk </w:t>
            </w:r>
            <w:r w:rsidR="00CA7295">
              <w:t xml:space="preserve">openly about productivity pressures. </w:t>
            </w:r>
            <w:r>
              <w:t>Students are looking for career support and w</w:t>
            </w:r>
            <w:r w:rsidR="00CA7295">
              <w:t>ant to be involved.</w:t>
            </w:r>
          </w:p>
        </w:tc>
        <w:tc>
          <w:tcPr>
            <w:tcW w:w="2340" w:type="dxa"/>
          </w:tcPr>
          <w:p w14:paraId="3FD2E24D" w14:textId="69801855" w:rsidR="00DE306E" w:rsidRDefault="00B34328" w:rsidP="00DE306E">
            <w:pPr>
              <w:pStyle w:val="TableParagraph"/>
              <w:ind w:left="105"/>
            </w:pPr>
            <w:r>
              <w:lastRenderedPageBreak/>
              <w:t>Rachel Smith, SOE</w:t>
            </w:r>
          </w:p>
          <w:p w14:paraId="18407CFD" w14:textId="77777777" w:rsidR="00DE306E" w:rsidRDefault="00DE306E" w:rsidP="00DE306E">
            <w:pPr>
              <w:pStyle w:val="TableParagraph"/>
              <w:spacing w:line="240" w:lineRule="auto"/>
              <w:ind w:left="105" w:right="319"/>
            </w:pPr>
          </w:p>
        </w:tc>
      </w:tr>
    </w:tbl>
    <w:p w14:paraId="2E835864" w14:textId="54796B7A" w:rsidR="00B16F81" w:rsidRDefault="00B16F81"/>
    <w:tbl>
      <w:tblPr>
        <w:tblpPr w:leftFromText="180" w:rightFromText="180" w:vertAnchor="text" w:tblpY="-59"/>
        <w:tblW w:w="11031" w:type="dxa"/>
        <w:tblLook w:val="04A0" w:firstRow="1" w:lastRow="0" w:firstColumn="1" w:lastColumn="0" w:noHBand="0" w:noVBand="1"/>
      </w:tblPr>
      <w:tblGrid>
        <w:gridCol w:w="1231"/>
        <w:gridCol w:w="1874"/>
        <w:gridCol w:w="3293"/>
        <w:gridCol w:w="651"/>
        <w:gridCol w:w="779"/>
        <w:gridCol w:w="650"/>
        <w:gridCol w:w="665"/>
        <w:gridCol w:w="587"/>
        <w:gridCol w:w="679"/>
        <w:gridCol w:w="622"/>
      </w:tblGrid>
      <w:tr w:rsidR="00EA726B" w14:paraId="63C73D83" w14:textId="77777777" w:rsidTr="00EA726B">
        <w:trPr>
          <w:trHeight w:val="33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BD0FA" w14:textId="77777777" w:rsidR="00EA726B" w:rsidRDefault="00EA726B" w:rsidP="00583C0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First Name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D00E1" w14:textId="77777777" w:rsidR="00EA726B" w:rsidRDefault="00EA726B" w:rsidP="00583C0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Last Name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78D75" w14:textId="77777777" w:rsidR="00EA726B" w:rsidRDefault="00EA726B" w:rsidP="00583C0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Discipline Area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A938E" w14:textId="77777777" w:rsidR="00EA726B" w:rsidRDefault="00EA726B" w:rsidP="00583C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Aug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B5E18" w14:textId="77777777" w:rsidR="00EA726B" w:rsidRDefault="00EA726B" w:rsidP="00583C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Sept.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57858" w14:textId="77777777" w:rsidR="00EA726B" w:rsidRDefault="00EA726B" w:rsidP="00583C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66F3A" w14:textId="77777777" w:rsidR="00EA726B" w:rsidRDefault="00EA726B" w:rsidP="00583C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60B2B" w14:textId="77777777" w:rsidR="00EA726B" w:rsidRDefault="00EA726B" w:rsidP="00583C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73747" w14:textId="77777777" w:rsidR="00EA726B" w:rsidRDefault="00EA726B" w:rsidP="00583C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083A6" w14:textId="77777777" w:rsidR="00EA726B" w:rsidRDefault="00EA726B" w:rsidP="00583C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Apr</w:t>
            </w:r>
          </w:p>
        </w:tc>
      </w:tr>
      <w:tr w:rsidR="00EA726B" w14:paraId="7891295E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FABFF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Dean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63492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Adams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BA446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E61A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30A9" w14:textId="4DFFD0D2" w:rsidR="00EA726B" w:rsidRDefault="000975AC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0AC99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A1DF5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C1891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76757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44753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7B190B4F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02C4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Michael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10B6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Brown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0B88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D2C15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10D01" w14:textId="6AABF345" w:rsidR="00EA726B" w:rsidRDefault="000975AC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C9E00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66083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13477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69FE3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07519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318351BA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BDA1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Sarah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7A90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Ryan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E58A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 &amp; Engineering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2C974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5DAE" w14:textId="7E03714B" w:rsidR="00EA726B" w:rsidRDefault="00CA7295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19D79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30CD1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F69F1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02F58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53949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0046E37A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2CDB" w14:textId="77777777" w:rsidR="00EA726B" w:rsidRDefault="00EA726B" w:rsidP="00583C01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Chunhui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90B2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Xiang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CCE9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CF516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434D" w14:textId="3EFEC08C" w:rsidR="00EA726B" w:rsidRDefault="000975AC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9D9E9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979B7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F328F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33999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5450D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7B3E73DD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68C2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Steven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9F1C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Lonergan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EC16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DC5A9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4AAAE" w14:textId="68F07812" w:rsidR="00EA726B" w:rsidRDefault="000975AC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49739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A4085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A0DDA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22E5F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9EBF9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315C1642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DF45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Dara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28D0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Wald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B018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F5E5C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3E0DE" w14:textId="651E4979" w:rsidR="00EA726B" w:rsidRDefault="00CA7295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6586D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B14C8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9058F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73509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A7E4C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4614D387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A3FD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Monica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FBB8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Haddad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C7BE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98E47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413DC" w14:textId="69FAEE44" w:rsidR="00EA726B" w:rsidRDefault="000975AC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A9F23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CEBF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31E60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10A10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BE2B4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67711A0E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CE77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Tera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7EB4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Jordan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8033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C294D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43B7" w14:textId="1CD3E07A" w:rsidR="00EA726B" w:rsidRDefault="000975AC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7AE07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C27A0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8D9E0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B3B6C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357ED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7DA62D7A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67C5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Michael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E4DB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Bailey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7BCD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843F0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30735" w14:textId="6C3B2F17" w:rsidR="00EA726B" w:rsidRDefault="000975AC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85EDB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BF943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64300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531AA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F185B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737719DF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9A07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Donna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F05D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Winham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CFF7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408B5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EC74C" w14:textId="1F43AED1" w:rsidR="00EA726B" w:rsidRDefault="00925FB7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06349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DB598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C6C66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75946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8B291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54220AA6" w14:textId="77777777" w:rsidTr="00EA726B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7EDE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Scott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D20F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Nelson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40E6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07AEB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8482A" w14:textId="56AF5FBF" w:rsidR="00EA726B" w:rsidRDefault="00806F4F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52EF9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7FDBE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E4275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853A7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DFCA5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15B3D75D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71CC" w14:textId="77777777" w:rsidR="00EA726B" w:rsidRDefault="00EA726B" w:rsidP="00583C01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Degang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83BD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C154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C7AEC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48D8B" w14:textId="20F901EC" w:rsidR="00EA726B" w:rsidRDefault="00806F4F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6F738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70493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73E2B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8A507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FDA3A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7B333D05" w14:textId="77777777" w:rsidTr="00EA726B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BAAA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Ajay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E839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Nair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8BBA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C412D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36AF" w14:textId="509E7F36" w:rsidR="00EA726B" w:rsidRDefault="0049219A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sub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7C185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8055F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30998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3DE44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2AC93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0D4DD6B0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8DCCD" w14:textId="77777777" w:rsidR="00EA726B" w:rsidRDefault="00EA726B" w:rsidP="00583C0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Jian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BAB92" w14:textId="77777777" w:rsidR="00EA726B" w:rsidRDefault="00EA726B" w:rsidP="00583C0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Tian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1C6B3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07F84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8D787" w14:textId="0BCB84EB" w:rsidR="00EA726B" w:rsidRDefault="00806F4F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11117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957ED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EFE43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CF7AD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68F8C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343DE536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1D5D5" w14:textId="77777777" w:rsidR="00EA726B" w:rsidRDefault="00EA726B" w:rsidP="00583C0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Amanda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5398C" w14:textId="77777777" w:rsidR="00EA726B" w:rsidRDefault="00EA726B" w:rsidP="00583C0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Weinstein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DA2B9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 &amp; Engineering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87E82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9F8E5" w14:textId="168D4825" w:rsidR="00EA726B" w:rsidRDefault="00806F4F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E67D2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1BC3B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EEE36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57218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6F2D0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00F1F4E8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8F25AE" w14:textId="77777777" w:rsidR="00EA726B" w:rsidRDefault="00EA726B" w:rsidP="00583C01">
            <w:pPr>
              <w:rPr>
                <w:sz w:val="20"/>
              </w:rPr>
            </w:pPr>
            <w:r>
              <w:rPr>
                <w:sz w:val="20"/>
              </w:rPr>
              <w:t>Steven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54E9E" w14:textId="77777777" w:rsidR="00EA726B" w:rsidRDefault="00EA726B" w:rsidP="00583C01">
            <w:pPr>
              <w:rPr>
                <w:sz w:val="20"/>
              </w:rPr>
            </w:pPr>
            <w:r>
              <w:rPr>
                <w:sz w:val="20"/>
              </w:rPr>
              <w:t>Freeman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C5C50A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Faculty Senate Representative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C89A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B016" w14:textId="64DFEB96" w:rsidR="00EA726B" w:rsidRDefault="00806F4F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00473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77C0F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EFB7B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261B8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BA6FD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4746F5D5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D1636" w14:textId="77777777" w:rsidR="00EA726B" w:rsidRDefault="00EA726B" w:rsidP="00583C01">
            <w:pPr>
              <w:rPr>
                <w:sz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59FCB8" w14:textId="77777777" w:rsidR="00EA726B" w:rsidRDefault="00EA726B" w:rsidP="00583C01">
            <w:pPr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4101C0" w14:textId="77777777" w:rsidR="00EA726B" w:rsidRDefault="00EA726B" w:rsidP="00583C01">
            <w:pPr>
              <w:rPr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F398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A0E0C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9B7B5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949F5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7267A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BF46E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CFF32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06AAD27A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51CFF6" w14:textId="77777777" w:rsidR="00EA726B" w:rsidRDefault="00EA726B" w:rsidP="00583C01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Chamari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A3D334" w14:textId="77777777" w:rsidR="00EA726B" w:rsidRDefault="00EA726B" w:rsidP="00583C01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Wijesooriya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EA4CA1" w14:textId="77777777" w:rsidR="00EA726B" w:rsidRDefault="00EA726B" w:rsidP="00583C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Post Doc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A950F" w14:textId="77777777" w:rsidR="00EA726B" w:rsidRDefault="00EA726B" w:rsidP="00583C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50863" w14:textId="02964F90" w:rsidR="00EA726B" w:rsidRDefault="00925FB7" w:rsidP="00583C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F90AF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E77CC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68800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C5F5D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333E6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55376CE7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95694" w14:textId="77777777" w:rsidR="00EA726B" w:rsidRDefault="00EA726B" w:rsidP="00583C01">
            <w:pPr>
              <w:rPr>
                <w:sz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B57D1" w14:textId="77777777" w:rsidR="00EA726B" w:rsidRDefault="00EA726B" w:rsidP="00583C01">
            <w:pPr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449D8F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Post Doc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2600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7D0E6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604EA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73410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52659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D0AAF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FBA35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1D91DA0F" w14:textId="77777777" w:rsidTr="00EA726B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9B81A" w14:textId="77777777" w:rsidR="00EA726B" w:rsidRDefault="00EA726B" w:rsidP="00583C0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8A3A5" w14:textId="77777777" w:rsidR="00EA726B" w:rsidRDefault="00EA726B" w:rsidP="00583C0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AE7DA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Student--Physical &amp; Math Sciences &amp; Engineering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D7A39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C95A" w14:textId="77777777" w:rsidR="00EA726B" w:rsidRDefault="00EA726B" w:rsidP="00583C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76A12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D0F6E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5AF1A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B3E82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9AE56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50BAB143" w14:textId="77777777" w:rsidTr="00EA726B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7297E" w14:textId="77777777" w:rsidR="00EA726B" w:rsidRDefault="00EA726B" w:rsidP="00583C0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Chelsea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FC1E2" w14:textId="77777777" w:rsidR="00EA726B" w:rsidRDefault="00EA726B" w:rsidP="00583C0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Iennarella-Servantez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DBF5C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GPSS Pres/Grad Student -- Biological &amp; Agricultural Sciences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31878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8ABC" w14:textId="7270D001" w:rsidR="00EA726B" w:rsidRDefault="00925FB7" w:rsidP="00583C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D31A8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6A81D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C2F36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BF9D1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BA08B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51F628FC" w14:textId="77777777" w:rsidTr="00EA726B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F3D18" w14:textId="77777777" w:rsidR="00EA726B" w:rsidRDefault="00EA726B" w:rsidP="00583C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</w:rPr>
              <w:t>Charles (Chuck)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78ED2" w14:textId="77777777" w:rsidR="00EA726B" w:rsidRDefault="00EA726B" w:rsidP="00583C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z w:val="20"/>
              </w:rPr>
              <w:t>Wongus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EE49B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Student--Social Sciences &amp; Education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4F1BD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ABB00" w14:textId="10B5A00C" w:rsidR="00EA726B" w:rsidRDefault="008F24A4" w:rsidP="00583C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A</w:t>
            </w:r>
            <w:bookmarkStart w:id="3" w:name="_GoBack"/>
            <w:bookmarkEnd w:id="3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4B297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3F830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1F29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91393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0EAA3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3BA82B4E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8F271B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Carrie Ann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DC35A9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Johnson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03822A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 -- Arts &amp; Humanities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56326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4CC5" w14:textId="341B882B" w:rsidR="00EA726B" w:rsidRDefault="00925FB7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3029A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78A09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76F08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B7819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B2A07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1DC0C742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92243B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84BD8E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68CD6C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D8418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18114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1DFE9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7F363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12602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BFD1B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9E19A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1ED58660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A901A0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Ex-officio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B01802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61077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9C4A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2B4DA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0CD3C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E5FED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2CB81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60DD8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E0C95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6E9F091B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90C6FA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2E1DD7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BA3B5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463EA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A104D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04365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66955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3D472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9E8D7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64843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759A65A2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2D37AF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Bill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BE1D8C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Graves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0700E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Dean of the Graduate College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7AE04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9CB4" w14:textId="5A9388B5" w:rsidR="00EA726B" w:rsidRDefault="000975AC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789A4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85A48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C3FD2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90F96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7E573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09C7E38A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39F788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Carolyn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D9E3AA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Cutrona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FC0A2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Associate Dean, Graduate College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DD274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908C" w14:textId="6CE8A554" w:rsidR="00EA726B" w:rsidRDefault="00925FB7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90D9F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C6089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01E18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F4CA5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C2C2F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508FB47D" w14:textId="77777777" w:rsidTr="00EA726B">
        <w:trPr>
          <w:trHeight w:val="356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70DE27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Natalie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0760C7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Robinson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86744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Assistant Director of Academic Services, Graduate College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85A6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A2B83" w14:textId="4E2D8EA1" w:rsidR="00EA726B" w:rsidRDefault="000975AC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42452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22E8F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11CD0" w14:textId="77777777" w:rsidR="00EA726B" w:rsidRDefault="00EA726B" w:rsidP="00583C01">
            <w:pPr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B0A84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F3135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A726B" w14:paraId="15E3BA60" w14:textId="77777777" w:rsidTr="00EA726B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0C1161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Samantha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037447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Hirschman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0B0EA" w14:textId="77777777" w:rsidR="00EA726B" w:rsidRDefault="00EA726B" w:rsidP="00583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Graduate Student Services Specialist II, Graduate College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FFB24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270EB" w14:textId="44C5932D" w:rsidR="00EA726B" w:rsidRDefault="000975AC" w:rsidP="00583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29CE0" w14:textId="77777777" w:rsidR="00EA726B" w:rsidRDefault="00EA726B" w:rsidP="00583C0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8E504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6814E" w14:textId="77777777" w:rsidR="00EA726B" w:rsidRDefault="00EA726B" w:rsidP="00583C0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B3F50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BFD2" w14:textId="77777777" w:rsidR="00EA726B" w:rsidRDefault="00EA726B" w:rsidP="00583C0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14:paraId="511D02A8" w14:textId="77777777" w:rsidR="00EA726B" w:rsidRDefault="00EA726B"/>
    <w:sectPr w:rsidR="00EA726B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6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2"/>
  </w:num>
  <w:num w:numId="5">
    <w:abstractNumId w:val="0"/>
  </w:num>
  <w:num w:numId="6">
    <w:abstractNumId w:val="19"/>
  </w:num>
  <w:num w:numId="7">
    <w:abstractNumId w:val="15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6"/>
  </w:num>
  <w:num w:numId="16">
    <w:abstractNumId w:val="18"/>
  </w:num>
  <w:num w:numId="17">
    <w:abstractNumId w:val="11"/>
  </w:num>
  <w:num w:numId="18">
    <w:abstractNumId w:val="24"/>
  </w:num>
  <w:num w:numId="19">
    <w:abstractNumId w:val="3"/>
  </w:num>
  <w:num w:numId="20">
    <w:abstractNumId w:val="17"/>
  </w:num>
  <w:num w:numId="21">
    <w:abstractNumId w:val="23"/>
  </w:num>
  <w:num w:numId="22">
    <w:abstractNumId w:val="21"/>
  </w:num>
  <w:num w:numId="23">
    <w:abstractNumId w:val="14"/>
  </w:num>
  <w:num w:numId="24">
    <w:abstractNumId w:val="2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9C"/>
    <w:rsid w:val="00025787"/>
    <w:rsid w:val="00042052"/>
    <w:rsid w:val="00044AE8"/>
    <w:rsid w:val="00050F7F"/>
    <w:rsid w:val="00062BEE"/>
    <w:rsid w:val="000975AC"/>
    <w:rsid w:val="000A339C"/>
    <w:rsid w:val="000D60FB"/>
    <w:rsid w:val="0010026A"/>
    <w:rsid w:val="001541FB"/>
    <w:rsid w:val="001715C7"/>
    <w:rsid w:val="001C23E3"/>
    <w:rsid w:val="001F3F44"/>
    <w:rsid w:val="00203B65"/>
    <w:rsid w:val="0021153C"/>
    <w:rsid w:val="0021595B"/>
    <w:rsid w:val="00255A3F"/>
    <w:rsid w:val="0026550D"/>
    <w:rsid w:val="002A385C"/>
    <w:rsid w:val="002B2D43"/>
    <w:rsid w:val="002E2BA3"/>
    <w:rsid w:val="002E3A8F"/>
    <w:rsid w:val="002F74B7"/>
    <w:rsid w:val="003609FF"/>
    <w:rsid w:val="004357B6"/>
    <w:rsid w:val="0044529C"/>
    <w:rsid w:val="004546B8"/>
    <w:rsid w:val="004616A5"/>
    <w:rsid w:val="0049219A"/>
    <w:rsid w:val="004C6C41"/>
    <w:rsid w:val="004F72B7"/>
    <w:rsid w:val="00547A2E"/>
    <w:rsid w:val="005F6FC6"/>
    <w:rsid w:val="00600132"/>
    <w:rsid w:val="00607831"/>
    <w:rsid w:val="00614567"/>
    <w:rsid w:val="00682D30"/>
    <w:rsid w:val="006832DC"/>
    <w:rsid w:val="0069210E"/>
    <w:rsid w:val="00697908"/>
    <w:rsid w:val="006A5624"/>
    <w:rsid w:val="006C6FA2"/>
    <w:rsid w:val="006E3401"/>
    <w:rsid w:val="00724B9A"/>
    <w:rsid w:val="007618F8"/>
    <w:rsid w:val="007B1DED"/>
    <w:rsid w:val="007C17FE"/>
    <w:rsid w:val="00806F4F"/>
    <w:rsid w:val="00822BE2"/>
    <w:rsid w:val="008275F6"/>
    <w:rsid w:val="008379F9"/>
    <w:rsid w:val="008535B7"/>
    <w:rsid w:val="00855273"/>
    <w:rsid w:val="00872DDD"/>
    <w:rsid w:val="00873530"/>
    <w:rsid w:val="008F24A4"/>
    <w:rsid w:val="009130B0"/>
    <w:rsid w:val="00925FB7"/>
    <w:rsid w:val="0094002B"/>
    <w:rsid w:val="0096714F"/>
    <w:rsid w:val="009A1765"/>
    <w:rsid w:val="009D429A"/>
    <w:rsid w:val="00A06A9E"/>
    <w:rsid w:val="00A9764B"/>
    <w:rsid w:val="00AC480A"/>
    <w:rsid w:val="00AD7D86"/>
    <w:rsid w:val="00B16F81"/>
    <w:rsid w:val="00B238C3"/>
    <w:rsid w:val="00B33322"/>
    <w:rsid w:val="00B34328"/>
    <w:rsid w:val="00B5529C"/>
    <w:rsid w:val="00B84432"/>
    <w:rsid w:val="00B95BFE"/>
    <w:rsid w:val="00BD1FD3"/>
    <w:rsid w:val="00BF6080"/>
    <w:rsid w:val="00C24093"/>
    <w:rsid w:val="00C666F7"/>
    <w:rsid w:val="00C82261"/>
    <w:rsid w:val="00C84B0C"/>
    <w:rsid w:val="00C9568F"/>
    <w:rsid w:val="00C95CAF"/>
    <w:rsid w:val="00CA7295"/>
    <w:rsid w:val="00D26D84"/>
    <w:rsid w:val="00D72C3D"/>
    <w:rsid w:val="00D732B0"/>
    <w:rsid w:val="00DB4C0D"/>
    <w:rsid w:val="00DE306E"/>
    <w:rsid w:val="00DF46D5"/>
    <w:rsid w:val="00E01E74"/>
    <w:rsid w:val="00E33773"/>
    <w:rsid w:val="00E51F39"/>
    <w:rsid w:val="00E61250"/>
    <w:rsid w:val="00E66093"/>
    <w:rsid w:val="00EA29CC"/>
    <w:rsid w:val="00EA4CE4"/>
    <w:rsid w:val="00EA726B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1-2022/September%202021/Specialization%20Change%20-%20Financial%20Reporting%20and%20Assurance.doc" TargetMode="External"/><Relationship Id="rId13" Type="http://schemas.openxmlformats.org/officeDocument/2006/relationships/hyperlink" Target="https://iastate.qualtrics.com/jfe/form/SV_b43WHzQ2cU68rz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1-2022/September%202021/Specialization%20Change%20-%20Data%20Analytics.doc" TargetMode="External"/><Relationship Id="rId12" Type="http://schemas.openxmlformats.org/officeDocument/2006/relationships/hyperlink" Target="https://www.grad-council.iastate.edu/sites/default/files/2021-2022/September%202021/Proposal%20to%20change%20the%20approved%20modality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rad-council.iastate.edu/sites/default/files/2021-2022/September%202021/Grad_Tuition_Scholarship_Policy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1-2022/August%202021/GC%20Minutes_08-2021.docx" TargetMode="External"/><Relationship Id="rId11" Type="http://schemas.openxmlformats.org/officeDocument/2006/relationships/hyperlink" Target="https://www.grad-council.iastate.edu/sites/default/files/2021-2022/September%202021/Specialization%20Removal%20-%20Global%20Business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astate.app.box.com/file/857036602456" TargetMode="External"/><Relationship Id="rId10" Type="http://schemas.openxmlformats.org/officeDocument/2006/relationships/hyperlink" Target="https://www.grad-council.iastate.edu/sites/default/files/2021-2022/September%202021/Specialization%20Change%20-%20Tax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-council.iastate.edu/sites/default/files/2021-2022/September%202021/Specialization%20Change%20-%20Managerial%20Decision%20Making.doc" TargetMode="External"/><Relationship Id="rId14" Type="http://schemas.openxmlformats.org/officeDocument/2006/relationships/hyperlink" Target="https://iastate.app.box.com/file/852170639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8BD5-9216-4C95-8671-14E4CCD7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2093</Words>
  <Characters>11935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2</cp:revision>
  <dcterms:created xsi:type="dcterms:W3CDTF">2021-10-05T20:09:00Z</dcterms:created>
  <dcterms:modified xsi:type="dcterms:W3CDTF">2021-10-05T20:09:00Z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