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4B36" w14:textId="2ED2E2E8" w:rsidR="00B80DFA" w:rsidRPr="00241A50" w:rsidRDefault="002C15B0" w:rsidP="002C15B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0DFA">
        <w:rPr>
          <w:rFonts w:ascii="Times New Roman" w:hAnsi="Times New Roman" w:cs="Times New Roman"/>
        </w:rPr>
        <w:t xml:space="preserve">We recommend </w:t>
      </w:r>
      <w:r w:rsidR="002D7267" w:rsidRPr="00B80DFA">
        <w:rPr>
          <w:rFonts w:ascii="Times New Roman" w:hAnsi="Times New Roman" w:cs="Times New Roman"/>
        </w:rPr>
        <w:t>renaming</w:t>
      </w:r>
      <w:r w:rsidRPr="00B80DFA">
        <w:rPr>
          <w:rFonts w:ascii="Times New Roman" w:hAnsi="Times New Roman" w:cs="Times New Roman"/>
        </w:rPr>
        <w:t xml:space="preserve"> our specialization “Intelligent Infrastructure Engineering” (IIE) to </w:t>
      </w:r>
      <w:r w:rsidRPr="00241A50">
        <w:rPr>
          <w:rFonts w:ascii="Times New Roman" w:hAnsi="Times New Roman" w:cs="Times New Roman"/>
          <w:color w:val="000000" w:themeColor="text1"/>
        </w:rPr>
        <w:t>“</w:t>
      </w:r>
      <w:r w:rsidRPr="00241A50">
        <w:rPr>
          <w:rFonts w:ascii="Times New Roman" w:hAnsi="Times New Roman" w:cs="Times New Roman"/>
          <w:b/>
          <w:bCs/>
          <w:color w:val="000000" w:themeColor="text1"/>
        </w:rPr>
        <w:t xml:space="preserve">Transdisciplinary </w:t>
      </w:r>
      <w:r w:rsidR="00BC2D59">
        <w:rPr>
          <w:rFonts w:ascii="Times New Roman" w:hAnsi="Times New Roman" w:cs="Times New Roman"/>
          <w:b/>
          <w:bCs/>
          <w:color w:val="000000" w:themeColor="text1"/>
        </w:rPr>
        <w:t xml:space="preserve">Infrastructure </w:t>
      </w:r>
      <w:r w:rsidRPr="00241A50">
        <w:rPr>
          <w:rFonts w:ascii="Times New Roman" w:hAnsi="Times New Roman" w:cs="Times New Roman"/>
          <w:b/>
          <w:bCs/>
          <w:color w:val="000000" w:themeColor="text1"/>
        </w:rPr>
        <w:t>Engineering</w:t>
      </w:r>
      <w:r w:rsidRPr="00241A50">
        <w:rPr>
          <w:rFonts w:ascii="Times New Roman" w:hAnsi="Times New Roman" w:cs="Times New Roman"/>
          <w:color w:val="000000" w:themeColor="text1"/>
        </w:rPr>
        <w:t>” (T</w:t>
      </w:r>
      <w:r w:rsidR="00BC2D59">
        <w:rPr>
          <w:rFonts w:ascii="Times New Roman" w:hAnsi="Times New Roman" w:cs="Times New Roman"/>
          <w:color w:val="000000" w:themeColor="text1"/>
        </w:rPr>
        <w:t>I</w:t>
      </w:r>
      <w:r w:rsidRPr="00241A50">
        <w:rPr>
          <w:rFonts w:ascii="Times New Roman" w:hAnsi="Times New Roman" w:cs="Times New Roman"/>
          <w:color w:val="000000" w:themeColor="text1"/>
        </w:rPr>
        <w:t>E). T</w:t>
      </w:r>
      <w:r w:rsidR="00BC2D59">
        <w:rPr>
          <w:rFonts w:ascii="Times New Roman" w:hAnsi="Times New Roman" w:cs="Times New Roman"/>
          <w:color w:val="000000" w:themeColor="text1"/>
        </w:rPr>
        <w:t>I</w:t>
      </w:r>
      <w:r w:rsidRPr="00241A50">
        <w:rPr>
          <w:rFonts w:ascii="Times New Roman" w:hAnsi="Times New Roman" w:cs="Times New Roman"/>
          <w:color w:val="000000" w:themeColor="text1"/>
        </w:rPr>
        <w:t xml:space="preserve">E would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offer </w:t>
      </w:r>
      <w:proofErr w:type="gramStart"/>
      <w:r w:rsidRPr="00241A50">
        <w:rPr>
          <w:rFonts w:ascii="Times New Roman" w:hAnsi="Times New Roman" w:cs="Times New Roman"/>
          <w:color w:val="000000" w:themeColor="text1"/>
        </w:rPr>
        <w:t xml:space="preserve">the </w:t>
      </w:r>
      <w:r w:rsidR="002D7267" w:rsidRPr="00241A50">
        <w:rPr>
          <w:rFonts w:ascii="Times New Roman" w:hAnsi="Times New Roman" w:cs="Times New Roman"/>
          <w:color w:val="000000" w:themeColor="text1"/>
        </w:rPr>
        <w:t>specialization</w:t>
      </w:r>
      <w:proofErr w:type="gramEnd"/>
      <w:r w:rsidR="002D7267" w:rsidRPr="00241A50">
        <w:rPr>
          <w:rFonts w:ascii="Times New Roman" w:hAnsi="Times New Roman" w:cs="Times New Roman"/>
          <w:color w:val="000000" w:themeColor="text1"/>
        </w:rPr>
        <w:t xml:space="preserve"> flexibility, </w:t>
      </w:r>
      <w:proofErr w:type="gramStart"/>
      <w:r w:rsidR="002D7267" w:rsidRPr="00241A50">
        <w:rPr>
          <w:rFonts w:ascii="Times New Roman" w:hAnsi="Times New Roman" w:cs="Times New Roman"/>
          <w:color w:val="000000" w:themeColor="text1"/>
        </w:rPr>
        <w:t>similar to</w:t>
      </w:r>
      <w:proofErr w:type="gramEnd"/>
      <w:r w:rsidRPr="00241A50">
        <w:rPr>
          <w:rFonts w:ascii="Times New Roman" w:hAnsi="Times New Roman" w:cs="Times New Roman"/>
          <w:color w:val="000000" w:themeColor="text1"/>
        </w:rPr>
        <w:t xml:space="preserve">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what </w:t>
      </w:r>
      <w:r w:rsidRPr="00241A50">
        <w:rPr>
          <w:rFonts w:ascii="Times New Roman" w:hAnsi="Times New Roman" w:cs="Times New Roman"/>
          <w:color w:val="000000" w:themeColor="text1"/>
        </w:rPr>
        <w:t>we currently have under IIE. The difference is that T</w:t>
      </w:r>
      <w:r w:rsidR="00BC2D59">
        <w:rPr>
          <w:rFonts w:ascii="Times New Roman" w:hAnsi="Times New Roman" w:cs="Times New Roman"/>
          <w:color w:val="000000" w:themeColor="text1"/>
        </w:rPr>
        <w:t>I</w:t>
      </w:r>
      <w:r w:rsidRPr="00241A50">
        <w:rPr>
          <w:rFonts w:ascii="Times New Roman" w:hAnsi="Times New Roman" w:cs="Times New Roman"/>
          <w:color w:val="000000" w:themeColor="text1"/>
        </w:rPr>
        <w:t xml:space="preserve">E </w:t>
      </w:r>
      <w:r w:rsidR="002D7267" w:rsidRPr="00241A50">
        <w:rPr>
          <w:rFonts w:ascii="Times New Roman" w:hAnsi="Times New Roman" w:cs="Times New Roman"/>
          <w:color w:val="000000" w:themeColor="text1"/>
        </w:rPr>
        <w:t>will</w:t>
      </w:r>
      <w:r w:rsidRPr="00241A50">
        <w:rPr>
          <w:rFonts w:ascii="Times New Roman" w:hAnsi="Times New Roman" w:cs="Times New Roman"/>
          <w:color w:val="000000" w:themeColor="text1"/>
        </w:rPr>
        <w:t xml:space="preserve">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cover </w:t>
      </w:r>
      <w:r w:rsidRPr="00241A50">
        <w:rPr>
          <w:rFonts w:ascii="Times New Roman" w:hAnsi="Times New Roman" w:cs="Times New Roman"/>
          <w:color w:val="000000" w:themeColor="text1"/>
        </w:rPr>
        <w:t xml:space="preserve">four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broad </w:t>
      </w:r>
      <w:r w:rsidRPr="00241A50">
        <w:rPr>
          <w:rFonts w:ascii="Times New Roman" w:hAnsi="Times New Roman" w:cs="Times New Roman"/>
          <w:color w:val="000000" w:themeColor="text1"/>
        </w:rPr>
        <w:t xml:space="preserve">research areas </w:t>
      </w:r>
      <w:r w:rsidR="00B80DFA" w:rsidRPr="00241A50">
        <w:rPr>
          <w:rFonts w:ascii="Times New Roman" w:hAnsi="Times New Roman" w:cs="Times New Roman"/>
          <w:color w:val="000000" w:themeColor="text1"/>
        </w:rPr>
        <w:t>to help show the possibilities</w:t>
      </w:r>
      <w:r w:rsidRPr="00241A50">
        <w:rPr>
          <w:rFonts w:ascii="Times New Roman" w:hAnsi="Times New Roman" w:cs="Times New Roman"/>
          <w:color w:val="000000" w:themeColor="text1"/>
        </w:rPr>
        <w:t xml:space="preserve">. These research areas can easily be renamed in the future to adjust strategic research focuses in CCEE. </w:t>
      </w:r>
      <w:r w:rsidR="00B80DFA" w:rsidRPr="00241A50">
        <w:rPr>
          <w:rFonts w:ascii="Times New Roman" w:hAnsi="Times New Roman" w:cs="Times New Roman"/>
          <w:color w:val="000000" w:themeColor="text1"/>
        </w:rPr>
        <w:t>The only portion that would go to the College of Engineering, Graduate School</w:t>
      </w:r>
      <w:r w:rsidR="002D7267" w:rsidRPr="00241A50">
        <w:rPr>
          <w:rFonts w:ascii="Times New Roman" w:hAnsi="Times New Roman" w:cs="Times New Roman"/>
          <w:color w:val="000000" w:themeColor="text1"/>
        </w:rPr>
        <w:t>,</w:t>
      </w:r>
      <w:r w:rsidR="00B80DFA" w:rsidRPr="00241A50">
        <w:rPr>
          <w:rFonts w:ascii="Times New Roman" w:hAnsi="Times New Roman" w:cs="Times New Roman"/>
          <w:color w:val="000000" w:themeColor="text1"/>
        </w:rPr>
        <w:t xml:space="preserve"> and Provost would be the name change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 (i.e., from IIE to T</w:t>
      </w:r>
      <w:r w:rsidR="00BC2D59">
        <w:rPr>
          <w:rFonts w:ascii="Times New Roman" w:hAnsi="Times New Roman" w:cs="Times New Roman"/>
          <w:color w:val="000000" w:themeColor="text1"/>
        </w:rPr>
        <w:t>I</w:t>
      </w:r>
      <w:r w:rsidR="002D7267" w:rsidRPr="00241A50">
        <w:rPr>
          <w:rFonts w:ascii="Times New Roman" w:hAnsi="Times New Roman" w:cs="Times New Roman"/>
          <w:color w:val="000000" w:themeColor="text1"/>
        </w:rPr>
        <w:t>E)</w:t>
      </w:r>
      <w:r w:rsidR="00B80DFA" w:rsidRPr="00241A50">
        <w:rPr>
          <w:rFonts w:ascii="Times New Roman" w:hAnsi="Times New Roman" w:cs="Times New Roman"/>
          <w:color w:val="000000" w:themeColor="text1"/>
        </w:rPr>
        <w:t xml:space="preserve">, not the four </w:t>
      </w:r>
      <w:r w:rsidR="002D7267" w:rsidRPr="00241A50">
        <w:rPr>
          <w:rFonts w:ascii="Times New Roman" w:hAnsi="Times New Roman" w:cs="Times New Roman"/>
          <w:color w:val="000000" w:themeColor="text1"/>
        </w:rPr>
        <w:t>sub</w:t>
      </w:r>
      <w:r w:rsidR="00A77A3D" w:rsidRPr="00241A50">
        <w:rPr>
          <w:rFonts w:ascii="Times New Roman" w:hAnsi="Times New Roman" w:cs="Times New Roman"/>
          <w:color w:val="000000" w:themeColor="text1"/>
        </w:rPr>
        <w:t xml:space="preserve">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specialization </w:t>
      </w:r>
      <w:r w:rsidR="00B80DFA" w:rsidRPr="00241A50">
        <w:rPr>
          <w:rFonts w:ascii="Times New Roman" w:hAnsi="Times New Roman" w:cs="Times New Roman"/>
          <w:color w:val="000000" w:themeColor="text1"/>
        </w:rPr>
        <w:t>research areas.</w:t>
      </w:r>
    </w:p>
    <w:p w14:paraId="07BCE7AB" w14:textId="77777777" w:rsidR="00B80DFA" w:rsidRPr="00241A50" w:rsidRDefault="00B80DFA" w:rsidP="002C15B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C7485" w14:textId="43AC47B6" w:rsidR="00B80DFA" w:rsidRPr="00241A50" w:rsidRDefault="00B80DFA" w:rsidP="00B80DFA">
      <w:pPr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 xml:space="preserve">In addition to our traditional </w:t>
      </w:r>
      <w:r w:rsidR="002D7267" w:rsidRPr="00241A50">
        <w:rPr>
          <w:rFonts w:ascii="Times New Roman" w:hAnsi="Times New Roman" w:cs="Times New Roman"/>
          <w:color w:val="000000" w:themeColor="text1"/>
        </w:rPr>
        <w:t xml:space="preserve">focus </w:t>
      </w:r>
      <w:r w:rsidRPr="00241A50">
        <w:rPr>
          <w:rFonts w:ascii="Times New Roman" w:hAnsi="Times New Roman" w:cs="Times New Roman"/>
          <w:color w:val="000000" w:themeColor="text1"/>
        </w:rPr>
        <w:t>areas, the descriptions of research areas under “Transdisciplinary</w:t>
      </w:r>
      <w:r w:rsidR="00BC2D59">
        <w:rPr>
          <w:rFonts w:ascii="Times New Roman" w:hAnsi="Times New Roman" w:cs="Times New Roman"/>
          <w:color w:val="000000" w:themeColor="text1"/>
        </w:rPr>
        <w:t xml:space="preserve"> Infrastructure</w:t>
      </w:r>
      <w:r w:rsidRPr="00241A50">
        <w:rPr>
          <w:rFonts w:ascii="Times New Roman" w:hAnsi="Times New Roman" w:cs="Times New Roman"/>
          <w:color w:val="000000" w:themeColor="text1"/>
        </w:rPr>
        <w:t xml:space="preserve"> Engineering” provide new marketing and recruitment opportunities for the department. A positive vote will enable the development of additional description within the CCEE Graduate Handbook. These descriptions will then be presented for a vote, along with other revisions to the Graduate Handbook, in Fall 2024.</w:t>
      </w:r>
    </w:p>
    <w:p w14:paraId="39CF1D78" w14:textId="21E6AA35" w:rsidR="007A1224" w:rsidRPr="00241A50" w:rsidRDefault="002C15B0" w:rsidP="002C15B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Faculty met twice this semester to discuss and refine the name of the research areas; they are listed below.</w:t>
      </w:r>
    </w:p>
    <w:p w14:paraId="2E68D165" w14:textId="77777777" w:rsidR="002C15B0" w:rsidRPr="00241A50" w:rsidRDefault="002C15B0" w:rsidP="002C15B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2640C2" w14:textId="66BEDCB1" w:rsidR="0016419E" w:rsidRPr="00241A50" w:rsidRDefault="002C15B0" w:rsidP="002C15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1. </w:t>
      </w:r>
      <w:r w:rsidR="0016419E" w:rsidRPr="00241A50">
        <w:rPr>
          <w:rFonts w:ascii="Times New Roman" w:hAnsi="Times New Roman" w:cs="Times New Roman"/>
          <w:b/>
          <w:bCs/>
          <w:i/>
          <w:color w:val="000000" w:themeColor="text1"/>
        </w:rPr>
        <w:t>Self-Aware Systems</w:t>
      </w:r>
    </w:p>
    <w:p w14:paraId="389F332D" w14:textId="77777777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Feedback systems (e.g., actuation and sensing)</w:t>
      </w:r>
    </w:p>
    <w:p w14:paraId="4E7B137F" w14:textId="1478C2C0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Decision support (e.g., condition-based maintenance)</w:t>
      </w:r>
    </w:p>
    <w:p w14:paraId="62A7DA48" w14:textId="1063FB94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Interdependent infrastructures</w:t>
      </w:r>
    </w:p>
    <w:p w14:paraId="010177E9" w14:textId="66B724D8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Adaptive mechanisms</w:t>
      </w:r>
    </w:p>
    <w:p w14:paraId="7639388C" w14:textId="663C19FD" w:rsidR="006D22E1" w:rsidRPr="00241A50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Smart building systems</w:t>
      </w:r>
    </w:p>
    <w:p w14:paraId="432EE7DF" w14:textId="1A9F6FAC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Autonomous mobility</w:t>
      </w:r>
    </w:p>
    <w:p w14:paraId="042126E7" w14:textId="0A8855D5" w:rsidR="006D22E1" w:rsidRPr="00241A50" w:rsidRDefault="006D22E1" w:rsidP="006D22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IoT</w:t>
      </w:r>
      <w:r w:rsidR="008F2244" w:rsidRPr="00241A50">
        <w:rPr>
          <w:rFonts w:ascii="Times New Roman" w:hAnsi="Times New Roman" w:cs="Times New Roman"/>
          <w:color w:val="000000" w:themeColor="text1"/>
        </w:rPr>
        <w:t>, cyber-security,</w:t>
      </w:r>
      <w:r w:rsidRPr="00241A50">
        <w:rPr>
          <w:rFonts w:ascii="Times New Roman" w:hAnsi="Times New Roman" w:cs="Times New Roman"/>
          <w:color w:val="000000" w:themeColor="text1"/>
        </w:rPr>
        <w:t xml:space="preserve"> and CPS</w:t>
      </w:r>
    </w:p>
    <w:p w14:paraId="02570DE9" w14:textId="6A46FD59" w:rsidR="000D5C6B" w:rsidRPr="00241A50" w:rsidRDefault="006D22E1" w:rsidP="00FB7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A</w:t>
      </w:r>
      <w:r w:rsidR="008F2244" w:rsidRPr="00241A50">
        <w:rPr>
          <w:rFonts w:ascii="Times New Roman" w:hAnsi="Times New Roman" w:cs="Times New Roman"/>
          <w:color w:val="000000" w:themeColor="text1"/>
        </w:rPr>
        <w:t>I-assisted design</w:t>
      </w:r>
    </w:p>
    <w:p w14:paraId="781F11E8" w14:textId="77777777" w:rsidR="002C15B0" w:rsidRPr="00241A50" w:rsidRDefault="002C15B0" w:rsidP="002C15B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6C73D37C" w14:textId="6B7FF732" w:rsidR="0016419E" w:rsidRPr="00241A50" w:rsidRDefault="002C15B0" w:rsidP="002C15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2. </w:t>
      </w:r>
      <w:r w:rsidR="0016419E"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Advanced Materials and </w:t>
      </w:r>
      <w:r w:rsidR="005625E5" w:rsidRPr="00241A50">
        <w:rPr>
          <w:rFonts w:ascii="Times New Roman" w:hAnsi="Times New Roman" w:cs="Times New Roman"/>
          <w:b/>
          <w:bCs/>
          <w:i/>
          <w:color w:val="000000" w:themeColor="text1"/>
        </w:rPr>
        <w:t>Automation</w:t>
      </w:r>
      <w:r w:rsidR="001E42B0"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1E42B0" w:rsidRPr="00241A50">
        <w:rPr>
          <w:rFonts w:ascii="Times New Roman" w:hAnsi="Times New Roman" w:cs="Times New Roman"/>
          <w:iCs/>
          <w:color w:val="000000" w:themeColor="text1"/>
        </w:rPr>
        <w:t>(for Infrastructure)</w:t>
      </w:r>
    </w:p>
    <w:p w14:paraId="527B0757" w14:textId="77777777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Robotics and automation (e.g., drones)</w:t>
      </w:r>
    </w:p>
    <w:p w14:paraId="54D5687D" w14:textId="77777777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Accelerated construction (e.g., ABC)</w:t>
      </w:r>
    </w:p>
    <w:p w14:paraId="1A165755" w14:textId="01833EF3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Additive manufacturing (e.g., 3D printing)</w:t>
      </w:r>
    </w:p>
    <w:p w14:paraId="3BE20F18" w14:textId="7559B066" w:rsidR="001C5A0E" w:rsidRPr="00241A50" w:rsidRDefault="0016419E" w:rsidP="00FB7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Multifunctional materials (e.g., bioinspired components)</w:t>
      </w:r>
    </w:p>
    <w:p w14:paraId="7C9B24FA" w14:textId="77777777" w:rsidR="001C5A0E" w:rsidRPr="00241A50" w:rsidRDefault="001C5A0E" w:rsidP="0016419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5FED86DD" w14:textId="7BAE42FA" w:rsidR="0016419E" w:rsidRPr="00241A50" w:rsidRDefault="002C15B0" w:rsidP="002C15B0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3. </w:t>
      </w:r>
      <w:r w:rsidR="0016419E" w:rsidRPr="00241A50">
        <w:rPr>
          <w:rFonts w:ascii="Times New Roman" w:hAnsi="Times New Roman" w:cs="Times New Roman"/>
          <w:b/>
          <w:bCs/>
          <w:i/>
          <w:color w:val="000000" w:themeColor="text1"/>
        </w:rPr>
        <w:t xml:space="preserve">Sustainable and Resilient </w:t>
      </w:r>
      <w:r w:rsidR="00FE09F9" w:rsidRPr="00241A50">
        <w:rPr>
          <w:rFonts w:ascii="Times New Roman" w:hAnsi="Times New Roman" w:cs="Times New Roman"/>
          <w:b/>
          <w:bCs/>
          <w:i/>
          <w:color w:val="000000" w:themeColor="text1"/>
        </w:rPr>
        <w:t>Systems</w:t>
      </w:r>
    </w:p>
    <w:p w14:paraId="28BC8F8B" w14:textId="540F53FA" w:rsidR="00396A9F" w:rsidRPr="00241A50" w:rsidRDefault="00396A9F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Multi-sectoral dynamics</w:t>
      </w:r>
    </w:p>
    <w:p w14:paraId="59E13167" w14:textId="2169FC40" w:rsidR="006D22E1" w:rsidRPr="00241A50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Climate change</w:t>
      </w:r>
      <w:r w:rsidR="00FE09F9" w:rsidRPr="00241A50">
        <w:rPr>
          <w:rFonts w:ascii="Times New Roman" w:hAnsi="Times New Roman" w:cs="Times New Roman"/>
          <w:color w:val="000000" w:themeColor="text1"/>
        </w:rPr>
        <w:t>, deep uncertainties</w:t>
      </w:r>
    </w:p>
    <w:p w14:paraId="0162586D" w14:textId="1BA57BF1" w:rsidR="006D22E1" w:rsidRPr="00241A50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Smart water systems</w:t>
      </w:r>
    </w:p>
    <w:p w14:paraId="7BF8D179" w14:textId="56529F94" w:rsidR="0016419E" w:rsidRPr="00241A50" w:rsidRDefault="00835E65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 xml:space="preserve">Hazard characterization and management </w:t>
      </w:r>
    </w:p>
    <w:p w14:paraId="471C8D3A" w14:textId="08400613" w:rsidR="006D22E1" w:rsidRPr="00241A50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Resilient transportation systems</w:t>
      </w:r>
    </w:p>
    <w:p w14:paraId="2F92A219" w14:textId="632B49BD" w:rsidR="0016419E" w:rsidRPr="00241A50" w:rsidRDefault="00835E65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L</w:t>
      </w:r>
      <w:r w:rsidR="0016419E" w:rsidRPr="00241A50">
        <w:rPr>
          <w:rFonts w:ascii="Times New Roman" w:hAnsi="Times New Roman" w:cs="Times New Roman"/>
          <w:color w:val="000000" w:themeColor="text1"/>
        </w:rPr>
        <w:t>ogistics</w:t>
      </w:r>
      <w:r w:rsidRPr="00241A50">
        <w:rPr>
          <w:rFonts w:ascii="Times New Roman" w:hAnsi="Times New Roman" w:cs="Times New Roman"/>
          <w:color w:val="000000" w:themeColor="text1"/>
        </w:rPr>
        <w:t xml:space="preserve"> and preparedness</w:t>
      </w:r>
    </w:p>
    <w:p w14:paraId="29453ACD" w14:textId="112F1EFD" w:rsidR="0016419E" w:rsidRPr="00241A50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Disaster response and recovery</w:t>
      </w:r>
    </w:p>
    <w:p w14:paraId="2C9EB3B5" w14:textId="10D89D8C" w:rsidR="00D27D64" w:rsidRPr="00241A50" w:rsidRDefault="00D27D64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Geospatial analysis</w:t>
      </w:r>
    </w:p>
    <w:p w14:paraId="48985C05" w14:textId="1BBFBE09" w:rsidR="00FB4A5F" w:rsidRPr="00241A50" w:rsidRDefault="00FB4A5F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41A50">
        <w:rPr>
          <w:rFonts w:ascii="Times New Roman" w:hAnsi="Times New Roman" w:cs="Times New Roman"/>
          <w:color w:val="000000" w:themeColor="text1"/>
        </w:rPr>
        <w:t>Risk and vulnerability assessment</w:t>
      </w:r>
    </w:p>
    <w:p w14:paraId="1FFE26F8" w14:textId="77777777" w:rsidR="001C5A0E" w:rsidRPr="00B80DFA" w:rsidRDefault="001C5A0E" w:rsidP="00FB785B">
      <w:pPr>
        <w:spacing w:after="0" w:line="240" w:lineRule="auto"/>
        <w:rPr>
          <w:rFonts w:ascii="Times New Roman" w:hAnsi="Times New Roman" w:cs="Times New Roman"/>
        </w:rPr>
      </w:pPr>
    </w:p>
    <w:p w14:paraId="5222AC54" w14:textId="13A98123" w:rsidR="006D22E1" w:rsidRPr="00B80DFA" w:rsidRDefault="002C15B0" w:rsidP="002C15B0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B80DFA">
        <w:rPr>
          <w:rFonts w:ascii="Times New Roman" w:hAnsi="Times New Roman" w:cs="Times New Roman"/>
          <w:b/>
          <w:bCs/>
          <w:i/>
        </w:rPr>
        <w:t xml:space="preserve">4. </w:t>
      </w:r>
      <w:r w:rsidR="006D22E1" w:rsidRPr="00B80DFA">
        <w:rPr>
          <w:rFonts w:ascii="Times New Roman" w:hAnsi="Times New Roman" w:cs="Times New Roman"/>
          <w:b/>
          <w:bCs/>
          <w:i/>
        </w:rPr>
        <w:t>Human-Centric Smart Communities</w:t>
      </w:r>
    </w:p>
    <w:p w14:paraId="427613F8" w14:textId="4B5E38A1" w:rsidR="005625E5" w:rsidRPr="00B80DFA" w:rsidRDefault="005625E5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Community involvement</w:t>
      </w:r>
    </w:p>
    <w:p w14:paraId="7D8FCFE2" w14:textId="1DC54DF3" w:rsidR="006D22E1" w:rsidRPr="00B80DFA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Smart rural communities</w:t>
      </w:r>
    </w:p>
    <w:p w14:paraId="78AF5001" w14:textId="57CAC4AD" w:rsidR="005625E5" w:rsidRPr="00B80DFA" w:rsidRDefault="005625E5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Workforce development</w:t>
      </w:r>
    </w:p>
    <w:p w14:paraId="19DA40B3" w14:textId="0C97706C" w:rsidR="006D22E1" w:rsidRPr="00B80DFA" w:rsidRDefault="006D22E1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Equity</w:t>
      </w:r>
    </w:p>
    <w:p w14:paraId="5CD6BB0A" w14:textId="791AACE0" w:rsidR="0016419E" w:rsidRPr="00B80DFA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Innovations in education</w:t>
      </w:r>
    </w:p>
    <w:p w14:paraId="0FE1BCBA" w14:textId="0D1A675C" w:rsidR="00835E65" w:rsidRPr="00B80DFA" w:rsidRDefault="00835E65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Training and outreach</w:t>
      </w:r>
    </w:p>
    <w:p w14:paraId="03E22BE9" w14:textId="40B7D43A" w:rsidR="0016419E" w:rsidRPr="00B80DFA" w:rsidRDefault="0016419E" w:rsidP="001641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>International relationships</w:t>
      </w:r>
    </w:p>
    <w:p w14:paraId="7328393D" w14:textId="2BC3AB3F" w:rsidR="001E42B0" w:rsidRPr="00B80DFA" w:rsidRDefault="001E42B0" w:rsidP="00D6205C">
      <w:pPr>
        <w:spacing w:after="0" w:line="240" w:lineRule="auto"/>
        <w:rPr>
          <w:rFonts w:ascii="Times New Roman" w:hAnsi="Times New Roman" w:cs="Times New Roman"/>
        </w:rPr>
      </w:pPr>
    </w:p>
    <w:p w14:paraId="4B0A91C5" w14:textId="77777777" w:rsidR="00B80DFA" w:rsidRDefault="00B80D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2B52AE2" w14:textId="254697FD" w:rsidR="00D6205C" w:rsidRPr="00B80DFA" w:rsidRDefault="00D6205C" w:rsidP="00B80D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0DFA">
        <w:rPr>
          <w:rFonts w:ascii="Times New Roman" w:hAnsi="Times New Roman" w:cs="Times New Roman"/>
          <w:b/>
          <w:bCs/>
        </w:rPr>
        <w:lastRenderedPageBreak/>
        <w:t xml:space="preserve">Vote: </w:t>
      </w:r>
    </w:p>
    <w:p w14:paraId="7A9DD670" w14:textId="57F590B6" w:rsidR="006D3456" w:rsidRPr="00B80DFA" w:rsidRDefault="00D6205C" w:rsidP="006D34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80DFA">
        <w:rPr>
          <w:rFonts w:ascii="Times New Roman" w:hAnsi="Times New Roman" w:cs="Times New Roman"/>
        </w:rPr>
        <w:t xml:space="preserve">To rename our specialization “Intelligent Infrastructure Engineering” to “Transdisciplinary </w:t>
      </w:r>
      <w:r w:rsidR="00BC2D59">
        <w:rPr>
          <w:rFonts w:ascii="Times New Roman" w:hAnsi="Times New Roman" w:cs="Times New Roman"/>
        </w:rPr>
        <w:t xml:space="preserve">Infrastructure </w:t>
      </w:r>
      <w:r w:rsidRPr="00B80DFA">
        <w:rPr>
          <w:rFonts w:ascii="Times New Roman" w:hAnsi="Times New Roman" w:cs="Times New Roman"/>
        </w:rPr>
        <w:t>Engineering”</w:t>
      </w:r>
      <w:r w:rsidR="006D3456" w:rsidRPr="00B80DFA">
        <w:rPr>
          <w:rFonts w:ascii="Times New Roman" w:hAnsi="Times New Roman" w:cs="Times New Roman"/>
        </w:rPr>
        <w:t xml:space="preserve">. “Transdisciplinary </w:t>
      </w:r>
      <w:r w:rsidR="00BC2D59">
        <w:rPr>
          <w:rFonts w:ascii="Times New Roman" w:hAnsi="Times New Roman" w:cs="Times New Roman"/>
        </w:rPr>
        <w:t xml:space="preserve">Infrastructure </w:t>
      </w:r>
      <w:r w:rsidR="006D3456" w:rsidRPr="00B80DFA">
        <w:rPr>
          <w:rFonts w:ascii="Times New Roman" w:hAnsi="Times New Roman" w:cs="Times New Roman"/>
        </w:rPr>
        <w:t>Engineering” will appear on the students</w:t>
      </w:r>
      <w:r w:rsidR="00A77A3D">
        <w:rPr>
          <w:rFonts w:ascii="Times New Roman" w:hAnsi="Times New Roman" w:cs="Times New Roman"/>
        </w:rPr>
        <w:t>’</w:t>
      </w:r>
      <w:r w:rsidR="006D3456" w:rsidRPr="00B80DFA">
        <w:rPr>
          <w:rFonts w:ascii="Times New Roman" w:hAnsi="Times New Roman" w:cs="Times New Roman"/>
        </w:rPr>
        <w:t xml:space="preserve"> transcripts.</w:t>
      </w:r>
    </w:p>
    <w:p w14:paraId="1D0F73F6" w14:textId="58C76BB8" w:rsidR="00D6205C" w:rsidRPr="00241A50" w:rsidRDefault="006D3456" w:rsidP="006D34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07BDE">
        <w:rPr>
          <w:rFonts w:ascii="Times New Roman" w:hAnsi="Times New Roman" w:cs="Times New Roman"/>
        </w:rPr>
        <w:t>A</w:t>
      </w:r>
      <w:r w:rsidR="00D6205C" w:rsidRPr="00B80DFA">
        <w:rPr>
          <w:rFonts w:ascii="Times New Roman" w:hAnsi="Times New Roman" w:cs="Times New Roman"/>
        </w:rPr>
        <w:t xml:space="preserve">dopt the </w:t>
      </w:r>
      <w:r w:rsidR="0029781B" w:rsidRPr="00B80DFA">
        <w:rPr>
          <w:rFonts w:ascii="Times New Roman" w:hAnsi="Times New Roman" w:cs="Times New Roman"/>
        </w:rPr>
        <w:t>listed</w:t>
      </w:r>
      <w:r w:rsidR="00D6205C" w:rsidRPr="00B80DFA">
        <w:rPr>
          <w:rFonts w:ascii="Times New Roman" w:hAnsi="Times New Roman" w:cs="Times New Roman"/>
        </w:rPr>
        <w:t xml:space="preserve"> </w:t>
      </w:r>
      <w:r w:rsidR="00A77A3D">
        <w:rPr>
          <w:rFonts w:ascii="Times New Roman" w:hAnsi="Times New Roman" w:cs="Times New Roman"/>
        </w:rPr>
        <w:t xml:space="preserve">sub specializations </w:t>
      </w:r>
      <w:r w:rsidR="00D6205C" w:rsidRPr="00B80DFA">
        <w:rPr>
          <w:rFonts w:ascii="Times New Roman" w:hAnsi="Times New Roman" w:cs="Times New Roman"/>
        </w:rPr>
        <w:t>research areas.</w:t>
      </w:r>
      <w:r w:rsidRPr="00B80DFA">
        <w:rPr>
          <w:rFonts w:ascii="Times New Roman" w:hAnsi="Times New Roman" w:cs="Times New Roman"/>
        </w:rPr>
        <w:t xml:space="preserve"> The lists are to provide examples and are not exhaustive. The sub specializations will appear on our CCEE website and in our Graduate Handbook. They will not appear on </w:t>
      </w:r>
      <w:r w:rsidR="00A77A3D">
        <w:rPr>
          <w:rFonts w:ascii="Times New Roman" w:hAnsi="Times New Roman" w:cs="Times New Roman"/>
        </w:rPr>
        <w:t xml:space="preserve">students’ </w:t>
      </w:r>
      <w:r w:rsidRPr="00B80DFA">
        <w:rPr>
          <w:rFonts w:ascii="Times New Roman" w:hAnsi="Times New Roman" w:cs="Times New Roman"/>
        </w:rPr>
        <w:t>transcripts. They help pr</w:t>
      </w:r>
      <w:r w:rsidR="00A77A3D">
        <w:rPr>
          <w:rFonts w:ascii="Times New Roman" w:hAnsi="Times New Roman" w:cs="Times New Roman"/>
        </w:rPr>
        <w:t>o</w:t>
      </w:r>
      <w:r w:rsidRPr="00B80DFA">
        <w:rPr>
          <w:rFonts w:ascii="Times New Roman" w:hAnsi="Times New Roman" w:cs="Times New Roman"/>
        </w:rPr>
        <w:t xml:space="preserve">spective students understand the types of </w:t>
      </w:r>
      <w:r w:rsidR="00BC2D59">
        <w:rPr>
          <w:rFonts w:ascii="Times New Roman" w:hAnsi="Times New Roman" w:cs="Times New Roman"/>
        </w:rPr>
        <w:t xml:space="preserve">transdisciplinary </w:t>
      </w:r>
      <w:r w:rsidRPr="00B80DFA">
        <w:rPr>
          <w:rFonts w:ascii="Times New Roman" w:hAnsi="Times New Roman" w:cs="Times New Roman"/>
        </w:rPr>
        <w:t xml:space="preserve">research </w:t>
      </w:r>
      <w:r w:rsidR="00BC2D59">
        <w:rPr>
          <w:rFonts w:ascii="Times New Roman" w:hAnsi="Times New Roman" w:cs="Times New Roman"/>
        </w:rPr>
        <w:t>opportunities the CCEE Department offers</w:t>
      </w:r>
      <w:r>
        <w:rPr>
          <w:rFonts w:ascii="Times New Roman" w:hAnsi="Times New Roman" w:cs="Times New Roman"/>
        </w:rPr>
        <w:t>.</w:t>
      </w:r>
    </w:p>
    <w:sectPr w:rsidR="00D6205C" w:rsidRPr="00241A50" w:rsidSect="001F62A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7E6"/>
    <w:multiLevelType w:val="hybridMultilevel"/>
    <w:tmpl w:val="9FE8F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333C"/>
    <w:multiLevelType w:val="hybridMultilevel"/>
    <w:tmpl w:val="2EA27728"/>
    <w:lvl w:ilvl="0" w:tplc="FFA87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66AB"/>
    <w:multiLevelType w:val="hybridMultilevel"/>
    <w:tmpl w:val="C9C4EEF8"/>
    <w:lvl w:ilvl="0" w:tplc="49A82092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1055">
    <w:abstractNumId w:val="1"/>
  </w:num>
  <w:num w:numId="2" w16cid:durableId="1443113637">
    <w:abstractNumId w:val="2"/>
  </w:num>
  <w:num w:numId="3" w16cid:durableId="8798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9E"/>
    <w:rsid w:val="00044635"/>
    <w:rsid w:val="00086B83"/>
    <w:rsid w:val="000D5C6B"/>
    <w:rsid w:val="00150833"/>
    <w:rsid w:val="0016419E"/>
    <w:rsid w:val="001C5A0E"/>
    <w:rsid w:val="001E42B0"/>
    <w:rsid w:val="001F62AF"/>
    <w:rsid w:val="00241A50"/>
    <w:rsid w:val="002777C0"/>
    <w:rsid w:val="0029781B"/>
    <w:rsid w:val="002C15B0"/>
    <w:rsid w:val="002D7267"/>
    <w:rsid w:val="00396A9F"/>
    <w:rsid w:val="004E5711"/>
    <w:rsid w:val="005371C1"/>
    <w:rsid w:val="005625E5"/>
    <w:rsid w:val="005B6D7C"/>
    <w:rsid w:val="006D22E1"/>
    <w:rsid w:val="006D3456"/>
    <w:rsid w:val="00781351"/>
    <w:rsid w:val="007A1224"/>
    <w:rsid w:val="007A277C"/>
    <w:rsid w:val="00816A2F"/>
    <w:rsid w:val="00835E65"/>
    <w:rsid w:val="00854393"/>
    <w:rsid w:val="00896572"/>
    <w:rsid w:val="008F2244"/>
    <w:rsid w:val="00A77A3D"/>
    <w:rsid w:val="00B25E8F"/>
    <w:rsid w:val="00B80DFA"/>
    <w:rsid w:val="00B86800"/>
    <w:rsid w:val="00BC2D59"/>
    <w:rsid w:val="00C65955"/>
    <w:rsid w:val="00D27D64"/>
    <w:rsid w:val="00D6205C"/>
    <w:rsid w:val="00D66304"/>
    <w:rsid w:val="00E1031B"/>
    <w:rsid w:val="00E44EF3"/>
    <w:rsid w:val="00E65B76"/>
    <w:rsid w:val="00E663B3"/>
    <w:rsid w:val="00EA1ACB"/>
    <w:rsid w:val="00EA3AA9"/>
    <w:rsid w:val="00ED724F"/>
    <w:rsid w:val="00F15356"/>
    <w:rsid w:val="00FA51E6"/>
    <w:rsid w:val="00FB4A5F"/>
    <w:rsid w:val="00FB785B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6FC3"/>
  <w15:chartTrackingRefBased/>
  <w15:docId w15:val="{130C859B-5227-46E9-80F6-D9FD5D0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9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9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D345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7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6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6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A1A0-AC6F-462E-B4F6-0118A91D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Shafei, Behrouz [CCE E]</dc:creator>
  <cp:keywords/>
  <dc:description/>
  <cp:lastModifiedBy>Miller, Dawn M [CCE E]</cp:lastModifiedBy>
  <cp:revision>2</cp:revision>
  <dcterms:created xsi:type="dcterms:W3CDTF">2024-06-05T20:24:00Z</dcterms:created>
  <dcterms:modified xsi:type="dcterms:W3CDTF">2024-06-05T20:24:00Z</dcterms:modified>
</cp:coreProperties>
</file>